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F52" w:rsidRPr="000C7B58" w:rsidRDefault="001F6BC2" w:rsidP="00795F52">
      <w:pPr>
        <w:jc w:val="center"/>
        <w:rPr>
          <w:rFonts w:cs="Arial"/>
          <w:b/>
          <w:szCs w:val="20"/>
        </w:rPr>
      </w:pPr>
      <w:bookmarkStart w:id="0" w:name="_GoBack"/>
      <w:bookmarkEnd w:id="0"/>
      <w:r w:rsidRPr="000C7B58">
        <w:rPr>
          <w:rFonts w:cs="Arial"/>
          <w:b/>
          <w:szCs w:val="20"/>
        </w:rPr>
        <w:t>Area Agency on Aging of Palm Beach/Treasure Coast, Inc.</w:t>
      </w:r>
    </w:p>
    <w:p w:rsidR="00795F52" w:rsidRPr="000C7B58" w:rsidRDefault="00587AF2" w:rsidP="00795F52">
      <w:pPr>
        <w:jc w:val="center"/>
        <w:rPr>
          <w:rFonts w:cs="Arial"/>
          <w:b/>
          <w:szCs w:val="20"/>
        </w:rPr>
      </w:pPr>
      <w:r w:rsidRPr="000C7B58">
        <w:rPr>
          <w:rFonts w:cs="Arial"/>
          <w:b/>
          <w:szCs w:val="20"/>
        </w:rPr>
        <w:t>Unit</w:t>
      </w:r>
      <w:r w:rsidR="00795F52" w:rsidRPr="000C7B58">
        <w:rPr>
          <w:rFonts w:cs="Arial"/>
          <w:b/>
          <w:szCs w:val="20"/>
        </w:rPr>
        <w:t xml:space="preserve"> Cost Methodology Worksheet Instructions</w:t>
      </w:r>
    </w:p>
    <w:p w:rsidR="00795F52" w:rsidRPr="000C7B58" w:rsidRDefault="00795F52" w:rsidP="00EB08B4">
      <w:pPr>
        <w:rPr>
          <w:rFonts w:cs="Arial"/>
          <w:b/>
          <w:szCs w:val="20"/>
          <w:u w:val="single"/>
        </w:rPr>
      </w:pPr>
    </w:p>
    <w:p w:rsidR="00151150" w:rsidRPr="000C7B58" w:rsidRDefault="00151150" w:rsidP="000C7B58">
      <w:pPr>
        <w:pStyle w:val="ListParagraph"/>
        <w:numPr>
          <w:ilvl w:val="0"/>
          <w:numId w:val="8"/>
        </w:numPr>
        <w:ind w:left="360"/>
        <w:rPr>
          <w:rFonts w:cs="Arial"/>
          <w:b/>
          <w:szCs w:val="20"/>
          <w:u w:val="single"/>
        </w:rPr>
      </w:pPr>
      <w:r w:rsidRPr="000C7B58">
        <w:rPr>
          <w:rFonts w:cs="Arial"/>
          <w:b/>
          <w:szCs w:val="20"/>
          <w:u w:val="single"/>
        </w:rPr>
        <w:t>Personnel Allocation Worksheet</w:t>
      </w:r>
      <w:r w:rsidR="00597E5D" w:rsidRPr="000C7B58">
        <w:rPr>
          <w:rFonts w:cs="Arial"/>
          <w:b/>
          <w:szCs w:val="20"/>
          <w:u w:val="single"/>
        </w:rPr>
        <w:t xml:space="preserve"> </w:t>
      </w:r>
    </w:p>
    <w:p w:rsidR="008308BA" w:rsidRPr="000C7B58" w:rsidRDefault="008308BA" w:rsidP="008308BA">
      <w:pPr>
        <w:pStyle w:val="ListParagraph"/>
        <w:numPr>
          <w:ilvl w:val="0"/>
          <w:numId w:val="7"/>
        </w:numPr>
        <w:spacing w:after="0"/>
        <w:rPr>
          <w:rFonts w:eastAsia="Times New Roman" w:cs="Arial"/>
          <w:szCs w:val="20"/>
        </w:rPr>
      </w:pPr>
      <w:r w:rsidRPr="000C7B58">
        <w:rPr>
          <w:rFonts w:eastAsia="Times New Roman" w:cs="Arial"/>
          <w:szCs w:val="20"/>
        </w:rPr>
        <w:t>Complete the</w:t>
      </w:r>
      <w:r>
        <w:rPr>
          <w:rFonts w:eastAsia="Times New Roman" w:cs="Arial"/>
          <w:szCs w:val="20"/>
        </w:rPr>
        <w:t xml:space="preserve"> </w:t>
      </w:r>
      <w:r w:rsidRPr="008308BA">
        <w:rPr>
          <w:rFonts w:eastAsia="Times New Roman" w:cs="Arial"/>
          <w:b/>
          <w:szCs w:val="20"/>
        </w:rPr>
        <w:t>orange</w:t>
      </w:r>
      <w:r>
        <w:rPr>
          <w:rFonts w:eastAsia="Times New Roman" w:cs="Arial"/>
          <w:szCs w:val="20"/>
        </w:rPr>
        <w:t xml:space="preserve"> highlighted</w:t>
      </w:r>
      <w:r w:rsidRPr="000C7B58">
        <w:rPr>
          <w:rFonts w:eastAsia="Times New Roman" w:cs="Arial"/>
          <w:szCs w:val="20"/>
        </w:rPr>
        <w:t xml:space="preserve"> cells</w:t>
      </w:r>
      <w:r>
        <w:rPr>
          <w:rFonts w:eastAsia="Times New Roman" w:cs="Arial"/>
          <w:szCs w:val="20"/>
        </w:rPr>
        <w:t xml:space="preserve">. </w:t>
      </w:r>
      <w:r w:rsidRPr="000C7B58">
        <w:rPr>
          <w:rFonts w:eastAsia="Times New Roman" w:cs="Arial"/>
          <w:szCs w:val="20"/>
        </w:rPr>
        <w:t xml:space="preserve"> </w:t>
      </w:r>
    </w:p>
    <w:p w:rsidR="004B6A7C" w:rsidRPr="000C7B58" w:rsidRDefault="004B6A7C" w:rsidP="000C7B58">
      <w:pPr>
        <w:pStyle w:val="ListParagraph"/>
        <w:numPr>
          <w:ilvl w:val="0"/>
          <w:numId w:val="7"/>
        </w:numPr>
        <w:spacing w:after="0"/>
        <w:rPr>
          <w:rFonts w:eastAsia="Times New Roman" w:cs="Arial"/>
          <w:szCs w:val="20"/>
        </w:rPr>
      </w:pPr>
      <w:r w:rsidRPr="000C7B58">
        <w:rPr>
          <w:rFonts w:eastAsia="Times New Roman" w:cs="Arial"/>
          <w:szCs w:val="20"/>
        </w:rPr>
        <w:t xml:space="preserve">Fill in the Budget year </w:t>
      </w:r>
    </w:p>
    <w:p w:rsidR="004B6A7C" w:rsidRPr="000C7B58" w:rsidRDefault="004B6A7C" w:rsidP="000C7B58">
      <w:pPr>
        <w:pStyle w:val="ListParagraph"/>
        <w:numPr>
          <w:ilvl w:val="0"/>
          <w:numId w:val="7"/>
        </w:numPr>
        <w:spacing w:after="0"/>
        <w:rPr>
          <w:rFonts w:eastAsia="Times New Roman" w:cs="Arial"/>
          <w:szCs w:val="20"/>
        </w:rPr>
      </w:pPr>
      <w:r w:rsidRPr="000C7B58">
        <w:rPr>
          <w:rFonts w:eastAsia="Times New Roman" w:cs="Arial"/>
          <w:szCs w:val="20"/>
        </w:rPr>
        <w:t>Fill in the Provider Name</w:t>
      </w:r>
    </w:p>
    <w:p w:rsidR="000C7B58" w:rsidRPr="000C7B58" w:rsidRDefault="000C7B58" w:rsidP="000C7B58">
      <w:pPr>
        <w:pStyle w:val="ListParagraph"/>
        <w:numPr>
          <w:ilvl w:val="0"/>
          <w:numId w:val="7"/>
        </w:numPr>
        <w:spacing w:after="0"/>
        <w:rPr>
          <w:rFonts w:eastAsia="Times New Roman" w:cs="Arial"/>
          <w:szCs w:val="20"/>
        </w:rPr>
      </w:pPr>
      <w:r w:rsidRPr="000C7B58">
        <w:rPr>
          <w:rFonts w:eastAsia="Times New Roman" w:cs="Arial"/>
          <w:szCs w:val="20"/>
        </w:rPr>
        <w:t>% Increased by allows for current wages to be increased. If you anticipate a pay increase, then put the % increase in this cell.</w:t>
      </w:r>
    </w:p>
    <w:p w:rsidR="004B6A7C" w:rsidRPr="000C7B58" w:rsidRDefault="004B6A7C" w:rsidP="000C7B58">
      <w:pPr>
        <w:pStyle w:val="ListParagraph"/>
        <w:numPr>
          <w:ilvl w:val="0"/>
          <w:numId w:val="7"/>
        </w:numPr>
        <w:spacing w:after="0"/>
        <w:rPr>
          <w:rFonts w:eastAsia="Times New Roman" w:cs="Arial"/>
          <w:szCs w:val="20"/>
        </w:rPr>
      </w:pPr>
      <w:r w:rsidRPr="000C7B58">
        <w:rPr>
          <w:rFonts w:eastAsia="Times New Roman" w:cs="Arial"/>
          <w:szCs w:val="20"/>
        </w:rPr>
        <w:t>I</w:t>
      </w:r>
      <w:r w:rsidR="005518BD" w:rsidRPr="000C7B58">
        <w:rPr>
          <w:rFonts w:eastAsia="Times New Roman" w:cs="Arial"/>
          <w:szCs w:val="20"/>
        </w:rPr>
        <w:t xml:space="preserve">nserting the personnel information for each employee.  </w:t>
      </w:r>
    </w:p>
    <w:p w:rsidR="004B6A7C" w:rsidRPr="000C7B58" w:rsidRDefault="004B6A7C" w:rsidP="000C7B58">
      <w:pPr>
        <w:pStyle w:val="ListParagraph"/>
        <w:numPr>
          <w:ilvl w:val="0"/>
          <w:numId w:val="7"/>
        </w:numPr>
        <w:spacing w:after="0"/>
        <w:rPr>
          <w:rFonts w:eastAsia="Times New Roman" w:cs="Arial"/>
          <w:szCs w:val="20"/>
        </w:rPr>
      </w:pPr>
      <w:r w:rsidRPr="000C7B58">
        <w:rPr>
          <w:rFonts w:eastAsia="Times New Roman" w:cs="Arial"/>
          <w:szCs w:val="20"/>
        </w:rPr>
        <w:t>Current Wages</w:t>
      </w:r>
    </w:p>
    <w:p w:rsidR="004B6A7C" w:rsidRPr="000C7B58" w:rsidRDefault="004B6A7C" w:rsidP="000C7B58">
      <w:pPr>
        <w:pStyle w:val="ListParagraph"/>
        <w:numPr>
          <w:ilvl w:val="0"/>
          <w:numId w:val="7"/>
        </w:numPr>
        <w:spacing w:after="0"/>
        <w:rPr>
          <w:rFonts w:eastAsia="Times New Roman" w:cs="Arial"/>
          <w:szCs w:val="20"/>
        </w:rPr>
      </w:pPr>
      <w:r w:rsidRPr="000C7B58">
        <w:rPr>
          <w:rFonts w:eastAsia="Times New Roman" w:cs="Arial"/>
          <w:szCs w:val="20"/>
        </w:rPr>
        <w:t>Gross Available Hours</w:t>
      </w:r>
    </w:p>
    <w:p w:rsidR="004B6A7C" w:rsidRPr="000C7B58" w:rsidRDefault="004B6A7C" w:rsidP="000C7B58">
      <w:pPr>
        <w:pStyle w:val="ListParagraph"/>
        <w:numPr>
          <w:ilvl w:val="0"/>
          <w:numId w:val="7"/>
        </w:numPr>
        <w:spacing w:after="0"/>
        <w:rPr>
          <w:rFonts w:eastAsia="Times New Roman" w:cs="Arial"/>
          <w:szCs w:val="20"/>
        </w:rPr>
      </w:pPr>
      <w:r w:rsidRPr="000C7B58">
        <w:rPr>
          <w:rFonts w:eastAsia="Times New Roman" w:cs="Arial"/>
          <w:szCs w:val="20"/>
        </w:rPr>
        <w:t>Holiday Hours</w:t>
      </w:r>
    </w:p>
    <w:p w:rsidR="004B6A7C" w:rsidRPr="000C7B58" w:rsidRDefault="004B6A7C" w:rsidP="000C7B58">
      <w:pPr>
        <w:pStyle w:val="ListParagraph"/>
        <w:numPr>
          <w:ilvl w:val="0"/>
          <w:numId w:val="7"/>
        </w:numPr>
        <w:spacing w:after="0"/>
        <w:rPr>
          <w:rFonts w:eastAsia="Times New Roman" w:cs="Arial"/>
          <w:szCs w:val="20"/>
        </w:rPr>
      </w:pPr>
      <w:r w:rsidRPr="000C7B58">
        <w:rPr>
          <w:rFonts w:eastAsia="Times New Roman" w:cs="Arial"/>
          <w:szCs w:val="20"/>
        </w:rPr>
        <w:t>Sick Leave</w:t>
      </w:r>
    </w:p>
    <w:p w:rsidR="000C7B58" w:rsidRPr="000C7B58" w:rsidRDefault="000C7B58" w:rsidP="00BD24F1">
      <w:pPr>
        <w:pStyle w:val="ListParagraph"/>
        <w:numPr>
          <w:ilvl w:val="0"/>
          <w:numId w:val="7"/>
        </w:numPr>
        <w:spacing w:after="0"/>
        <w:rPr>
          <w:rFonts w:cs="Arial"/>
          <w:szCs w:val="20"/>
        </w:rPr>
      </w:pPr>
      <w:r w:rsidRPr="000C7B58">
        <w:rPr>
          <w:rFonts w:eastAsia="Times New Roman" w:cs="Arial"/>
          <w:szCs w:val="20"/>
        </w:rPr>
        <w:t>A</w:t>
      </w:r>
      <w:r w:rsidR="004B6A7C" w:rsidRPr="000C7B58">
        <w:rPr>
          <w:rFonts w:eastAsia="Times New Roman" w:cs="Arial"/>
          <w:szCs w:val="20"/>
        </w:rPr>
        <w:t>nnual Leave</w:t>
      </w:r>
      <w:r w:rsidRPr="000C7B58">
        <w:rPr>
          <w:rFonts w:eastAsia="Times New Roman" w:cs="Arial"/>
          <w:szCs w:val="20"/>
        </w:rPr>
        <w:t xml:space="preserve"> - I</w:t>
      </w:r>
      <w:r w:rsidRPr="000C7B58">
        <w:rPr>
          <w:rFonts w:cs="Arial"/>
          <w:szCs w:val="20"/>
        </w:rPr>
        <w:t>f your Agency utilizes Paid Time Off (PTO), instead of the individual categories of Holidays, Sick, and Annual Leave, include the total PTO per employee under the Annual Leave category.</w:t>
      </w:r>
    </w:p>
    <w:p w:rsidR="004B6A7C" w:rsidRPr="000C7B58" w:rsidRDefault="004B6A7C" w:rsidP="000C7B58">
      <w:pPr>
        <w:pStyle w:val="ListParagraph"/>
        <w:numPr>
          <w:ilvl w:val="0"/>
          <w:numId w:val="7"/>
        </w:numPr>
        <w:spacing w:after="0"/>
        <w:rPr>
          <w:rFonts w:eastAsia="Times New Roman" w:cs="Arial"/>
          <w:szCs w:val="20"/>
        </w:rPr>
      </w:pPr>
      <w:r w:rsidRPr="000C7B58">
        <w:rPr>
          <w:rFonts w:eastAsia="Times New Roman" w:cs="Arial"/>
          <w:szCs w:val="20"/>
        </w:rPr>
        <w:t>Other non-billable time</w:t>
      </w:r>
    </w:p>
    <w:p w:rsidR="004B6A7C" w:rsidRPr="000C7B58" w:rsidRDefault="005518BD" w:rsidP="000C7B58">
      <w:pPr>
        <w:pStyle w:val="ListParagraph"/>
        <w:numPr>
          <w:ilvl w:val="0"/>
          <w:numId w:val="7"/>
        </w:numPr>
        <w:spacing w:after="0"/>
        <w:rPr>
          <w:rFonts w:eastAsia="Times New Roman" w:cs="Arial"/>
          <w:szCs w:val="20"/>
        </w:rPr>
      </w:pPr>
      <w:r w:rsidRPr="000C7B58">
        <w:rPr>
          <w:rFonts w:eastAsia="Times New Roman" w:cs="Arial"/>
          <w:szCs w:val="20"/>
        </w:rPr>
        <w:t xml:space="preserve">Volunteers can be shown with "0" wages and net available hours. </w:t>
      </w:r>
    </w:p>
    <w:p w:rsidR="000C7B58" w:rsidRPr="000C7B58" w:rsidRDefault="005518BD" w:rsidP="000C7B58">
      <w:pPr>
        <w:pStyle w:val="ListParagraph"/>
        <w:numPr>
          <w:ilvl w:val="0"/>
          <w:numId w:val="7"/>
        </w:numPr>
        <w:spacing w:after="0"/>
        <w:rPr>
          <w:rFonts w:eastAsia="Times New Roman" w:cs="Arial"/>
          <w:szCs w:val="20"/>
        </w:rPr>
      </w:pPr>
      <w:r w:rsidRPr="000C7B58">
        <w:rPr>
          <w:rFonts w:eastAsia="Times New Roman" w:cs="Arial"/>
          <w:szCs w:val="20"/>
        </w:rPr>
        <w:t xml:space="preserve">For each position, manually insert the percentage of time allocated to one or more of the services (the allocations must be based on recent time studies or other accurate and verifiable documentation).  </w:t>
      </w:r>
    </w:p>
    <w:p w:rsidR="000C7B58" w:rsidRPr="000C7B58" w:rsidRDefault="000C7B58" w:rsidP="000C7B58">
      <w:pPr>
        <w:pStyle w:val="ListParagraph"/>
        <w:numPr>
          <w:ilvl w:val="0"/>
          <w:numId w:val="7"/>
        </w:numPr>
        <w:rPr>
          <w:rFonts w:cs="Arial"/>
          <w:szCs w:val="20"/>
        </w:rPr>
      </w:pPr>
      <w:r w:rsidRPr="000C7B58">
        <w:rPr>
          <w:rFonts w:cs="Arial"/>
          <w:szCs w:val="20"/>
        </w:rPr>
        <w:t xml:space="preserve">All positions must be shown individually and all personnel allocations </w:t>
      </w:r>
      <w:r w:rsidRPr="000C7B58">
        <w:rPr>
          <w:rFonts w:cs="Arial"/>
          <w:b/>
          <w:szCs w:val="20"/>
        </w:rPr>
        <w:t>must equal 100%.</w:t>
      </w:r>
      <w:r w:rsidRPr="000C7B58">
        <w:rPr>
          <w:rFonts w:cs="Arial"/>
          <w:szCs w:val="20"/>
        </w:rPr>
        <w:t xml:space="preserve"> It is important to ensure proper personnel allocations per employee.</w:t>
      </w:r>
    </w:p>
    <w:p w:rsidR="005518BD" w:rsidRPr="000C7B58" w:rsidRDefault="005518BD" w:rsidP="000C7B58">
      <w:pPr>
        <w:pStyle w:val="ListParagraph"/>
        <w:numPr>
          <w:ilvl w:val="0"/>
          <w:numId w:val="7"/>
        </w:numPr>
        <w:spacing w:after="0"/>
        <w:rPr>
          <w:rFonts w:eastAsia="Times New Roman" w:cs="Arial"/>
          <w:szCs w:val="20"/>
        </w:rPr>
      </w:pPr>
      <w:r w:rsidRPr="000C7B58">
        <w:rPr>
          <w:rFonts w:eastAsia="Times New Roman" w:cs="Arial"/>
          <w:szCs w:val="20"/>
        </w:rPr>
        <w:t>The worksheet will calculate the amount of time and wages allocated to each service.</w:t>
      </w:r>
    </w:p>
    <w:p w:rsidR="005518BD" w:rsidRPr="000C7B58" w:rsidRDefault="005518BD" w:rsidP="00FB1E09">
      <w:pPr>
        <w:ind w:left="1080" w:firstLine="30"/>
        <w:rPr>
          <w:rFonts w:cs="Arial"/>
          <w:b/>
          <w:szCs w:val="20"/>
        </w:rPr>
      </w:pPr>
    </w:p>
    <w:p w:rsidR="00FB1E09" w:rsidRPr="000C7B58" w:rsidRDefault="00FB1E09" w:rsidP="00EB08B4">
      <w:pPr>
        <w:rPr>
          <w:rFonts w:cs="Arial"/>
          <w:b/>
          <w:szCs w:val="20"/>
          <w:u w:val="single"/>
        </w:rPr>
      </w:pPr>
      <w:r w:rsidRPr="000C7B58">
        <w:rPr>
          <w:rFonts w:cs="Arial"/>
          <w:b/>
          <w:szCs w:val="20"/>
          <w:u w:val="single"/>
        </w:rPr>
        <w:t>Priority Items</w:t>
      </w:r>
    </w:p>
    <w:p w:rsidR="00D9799A" w:rsidRPr="000C7B58" w:rsidRDefault="00D9799A" w:rsidP="00443198">
      <w:pPr>
        <w:pStyle w:val="ListParagraph"/>
        <w:ind w:left="1080"/>
        <w:rPr>
          <w:rFonts w:cs="Arial"/>
          <w:szCs w:val="20"/>
        </w:rPr>
      </w:pPr>
    </w:p>
    <w:p w:rsidR="00151150" w:rsidRPr="000C7B58" w:rsidRDefault="00151150" w:rsidP="00EB08B4">
      <w:pPr>
        <w:pStyle w:val="ListParagraph"/>
        <w:numPr>
          <w:ilvl w:val="0"/>
          <w:numId w:val="2"/>
        </w:numPr>
        <w:rPr>
          <w:rFonts w:cs="Arial"/>
          <w:szCs w:val="20"/>
          <w:u w:val="single"/>
        </w:rPr>
      </w:pPr>
      <w:r w:rsidRPr="000C7B58">
        <w:rPr>
          <w:rFonts w:cs="Arial"/>
          <w:szCs w:val="20"/>
          <w:u w:val="single"/>
        </w:rPr>
        <w:t>Management and General (M&amp;G) Cost Pool</w:t>
      </w:r>
    </w:p>
    <w:p w:rsidR="0026284F" w:rsidRPr="000C7B58" w:rsidRDefault="00CF01C3" w:rsidP="00CF4C5D">
      <w:pPr>
        <w:pStyle w:val="ListParagraph"/>
        <w:ind w:left="1080"/>
        <w:rPr>
          <w:rFonts w:cs="Arial"/>
          <w:szCs w:val="20"/>
        </w:rPr>
      </w:pPr>
      <w:r w:rsidRPr="000C7B58">
        <w:rPr>
          <w:rFonts w:cs="Arial"/>
          <w:szCs w:val="20"/>
        </w:rPr>
        <w:t>Personnel Positio</w:t>
      </w:r>
      <w:r w:rsidR="00CF4C5D" w:rsidRPr="000C7B58">
        <w:rPr>
          <w:rFonts w:cs="Arial"/>
          <w:szCs w:val="20"/>
        </w:rPr>
        <w:t>ns normally associated with M&amp;G Cost Pool are Executive Director and Assistant Director(s), fiscal staff, human resource staff, data processing office staff, and all related supporting personnel for those offices.  Exceptions to this rule are if any of these positions participate in lobbying, fundraising or other activities unallowable under state and federal grants, if this is the case an appropriate proportion of time should be allocated to these unallowable activities.</w:t>
      </w:r>
    </w:p>
    <w:p w:rsidR="00FB57D6" w:rsidRPr="000C7B58" w:rsidRDefault="00FB57D6" w:rsidP="00CF4C5D">
      <w:pPr>
        <w:pStyle w:val="ListParagraph"/>
        <w:ind w:left="1080"/>
        <w:rPr>
          <w:rFonts w:cs="Arial"/>
          <w:szCs w:val="20"/>
        </w:rPr>
      </w:pPr>
    </w:p>
    <w:p w:rsidR="00151150" w:rsidRPr="000C7B58" w:rsidRDefault="00151150" w:rsidP="00EB08B4">
      <w:pPr>
        <w:pStyle w:val="ListParagraph"/>
        <w:numPr>
          <w:ilvl w:val="0"/>
          <w:numId w:val="2"/>
        </w:numPr>
        <w:rPr>
          <w:rFonts w:cs="Arial"/>
          <w:szCs w:val="20"/>
          <w:u w:val="single"/>
        </w:rPr>
      </w:pPr>
      <w:r w:rsidRPr="000C7B58">
        <w:rPr>
          <w:rFonts w:cs="Arial"/>
          <w:szCs w:val="20"/>
          <w:u w:val="single"/>
        </w:rPr>
        <w:t>Importance of</w:t>
      </w:r>
      <w:r w:rsidR="00443198" w:rsidRPr="000C7B58">
        <w:rPr>
          <w:rFonts w:cs="Arial"/>
          <w:szCs w:val="20"/>
          <w:u w:val="single"/>
        </w:rPr>
        <w:t xml:space="preserve"> Other Non-Billable Time </w:t>
      </w:r>
      <w:r w:rsidR="003309E7" w:rsidRPr="000C7B58">
        <w:rPr>
          <w:rFonts w:cs="Arial"/>
          <w:szCs w:val="20"/>
          <w:u w:val="single"/>
        </w:rPr>
        <w:t xml:space="preserve">and </w:t>
      </w:r>
      <w:r w:rsidR="00443198" w:rsidRPr="000C7B58">
        <w:rPr>
          <w:rFonts w:cs="Arial"/>
          <w:szCs w:val="20"/>
          <w:u w:val="single"/>
        </w:rPr>
        <w:t xml:space="preserve">the </w:t>
      </w:r>
      <w:r w:rsidR="003309E7" w:rsidRPr="000C7B58">
        <w:rPr>
          <w:rFonts w:cs="Arial"/>
          <w:szCs w:val="20"/>
          <w:u w:val="single"/>
        </w:rPr>
        <w:t xml:space="preserve">Net Available Hours </w:t>
      </w:r>
      <w:r w:rsidRPr="000C7B58">
        <w:rPr>
          <w:rFonts w:cs="Arial"/>
          <w:szCs w:val="20"/>
          <w:u w:val="single"/>
        </w:rPr>
        <w:t>Categor</w:t>
      </w:r>
      <w:r w:rsidR="003309E7" w:rsidRPr="000C7B58">
        <w:rPr>
          <w:rFonts w:cs="Arial"/>
          <w:szCs w:val="20"/>
          <w:u w:val="single"/>
        </w:rPr>
        <w:t>ies</w:t>
      </w:r>
    </w:p>
    <w:p w:rsidR="00E34C47" w:rsidRPr="000C7B58" w:rsidRDefault="00D71EB2" w:rsidP="00E34C47">
      <w:pPr>
        <w:pStyle w:val="ListParagraph"/>
        <w:ind w:left="1080"/>
        <w:rPr>
          <w:rFonts w:cs="Arial"/>
          <w:szCs w:val="20"/>
        </w:rPr>
      </w:pPr>
      <w:r w:rsidRPr="000C7B58">
        <w:rPr>
          <w:rFonts w:cs="Arial"/>
          <w:szCs w:val="20"/>
        </w:rPr>
        <w:t>These categories are essential in assessing the time available for Direct Service Workers unit achievement by service. The total “HR/UNIT” information will be carried over to the Unit Cost Worksheet to develop the “Number of Billing Units” for all services which equate a staff hour with a unit of service.</w:t>
      </w:r>
    </w:p>
    <w:p w:rsidR="00E34C47" w:rsidRPr="000C7B58" w:rsidRDefault="00E34C47" w:rsidP="00E34C47">
      <w:pPr>
        <w:pStyle w:val="ListParagraph"/>
        <w:ind w:left="1080"/>
        <w:rPr>
          <w:rFonts w:cs="Arial"/>
          <w:szCs w:val="20"/>
        </w:rPr>
      </w:pPr>
    </w:p>
    <w:p w:rsidR="003309E7" w:rsidRPr="000C7B58" w:rsidRDefault="003309E7" w:rsidP="003309E7">
      <w:pPr>
        <w:ind w:left="1080"/>
        <w:rPr>
          <w:rFonts w:cs="Arial"/>
          <w:szCs w:val="20"/>
        </w:rPr>
      </w:pPr>
      <w:r w:rsidRPr="000C7B58">
        <w:rPr>
          <w:rFonts w:cs="Arial"/>
          <w:szCs w:val="20"/>
        </w:rPr>
        <w:t xml:space="preserve">Example: The CM Supervisor’s </w:t>
      </w:r>
      <w:r w:rsidR="00443198" w:rsidRPr="000C7B58">
        <w:rPr>
          <w:rFonts w:cs="Arial"/>
          <w:szCs w:val="20"/>
        </w:rPr>
        <w:t xml:space="preserve">Other </w:t>
      </w:r>
      <w:r w:rsidRPr="000C7B58">
        <w:rPr>
          <w:rFonts w:cs="Arial"/>
          <w:szCs w:val="20"/>
        </w:rPr>
        <w:t xml:space="preserve">Non-Billable Time should reflect all the time that is Non-Billable and the Net Available Hours may possibly be -0-. Otherwise, if this is not backed out appropriately the Net Available Hours will artificially be inflated. </w:t>
      </w:r>
    </w:p>
    <w:p w:rsidR="003309E7" w:rsidRPr="000C7B58" w:rsidRDefault="003309E7" w:rsidP="003309E7">
      <w:pPr>
        <w:ind w:left="1080"/>
        <w:rPr>
          <w:rFonts w:cs="Arial"/>
          <w:szCs w:val="20"/>
        </w:rPr>
      </w:pPr>
      <w:r w:rsidRPr="000C7B58">
        <w:rPr>
          <w:rFonts w:cs="Arial"/>
          <w:szCs w:val="20"/>
          <w:u w:val="single"/>
        </w:rPr>
        <w:t>Note:</w:t>
      </w:r>
      <w:r w:rsidRPr="000C7B58">
        <w:rPr>
          <w:rFonts w:cs="Arial"/>
          <w:szCs w:val="20"/>
        </w:rPr>
        <w:t xml:space="preserve"> Having the correct Net Available Hours for all Direct Services is a key component to the “Number of Billing Units” on the Unit Cost Worksheet. </w:t>
      </w:r>
    </w:p>
    <w:p w:rsidR="005E161C" w:rsidRPr="000C7B58" w:rsidRDefault="005E161C" w:rsidP="005E161C">
      <w:pPr>
        <w:rPr>
          <w:rFonts w:cs="Arial"/>
          <w:szCs w:val="20"/>
        </w:rPr>
      </w:pPr>
    </w:p>
    <w:p w:rsidR="00E637C3" w:rsidRPr="00CF2AC5" w:rsidRDefault="00E637C3" w:rsidP="00E637C3">
      <w:pPr>
        <w:ind w:left="0"/>
        <w:jc w:val="center"/>
        <w:rPr>
          <w:rFonts w:cs="Arial"/>
          <w:sz w:val="24"/>
          <w:szCs w:val="24"/>
        </w:rPr>
      </w:pPr>
      <w:r w:rsidRPr="00CF2AC5">
        <w:rPr>
          <w:rFonts w:cs="Arial"/>
          <w:b/>
          <w:sz w:val="24"/>
          <w:szCs w:val="24"/>
        </w:rPr>
        <w:t xml:space="preserve">Review and analyze the “Check” column located on the far right on the </w:t>
      </w:r>
      <w:r>
        <w:rPr>
          <w:rFonts w:cs="Arial"/>
          <w:b/>
          <w:sz w:val="24"/>
          <w:szCs w:val="24"/>
        </w:rPr>
        <w:t xml:space="preserve">Personnel Allocation </w:t>
      </w:r>
      <w:r w:rsidRPr="00CF2AC5">
        <w:rPr>
          <w:rFonts w:cs="Arial"/>
          <w:b/>
          <w:sz w:val="24"/>
          <w:szCs w:val="24"/>
        </w:rPr>
        <w:t xml:space="preserve">Worksheet. All </w:t>
      </w:r>
      <w:r>
        <w:rPr>
          <w:rFonts w:cs="Arial"/>
          <w:b/>
          <w:sz w:val="24"/>
          <w:szCs w:val="24"/>
        </w:rPr>
        <w:t xml:space="preserve">percentages </w:t>
      </w:r>
      <w:r w:rsidRPr="00CF2AC5">
        <w:rPr>
          <w:rFonts w:cs="Arial"/>
          <w:b/>
          <w:sz w:val="24"/>
          <w:szCs w:val="24"/>
        </w:rPr>
        <w:t xml:space="preserve">should equal </w:t>
      </w:r>
      <w:r>
        <w:rPr>
          <w:rFonts w:cs="Arial"/>
          <w:b/>
          <w:sz w:val="24"/>
          <w:szCs w:val="24"/>
        </w:rPr>
        <w:t>100%</w:t>
      </w:r>
      <w:r w:rsidRPr="00CF2AC5">
        <w:rPr>
          <w:rFonts w:cs="Arial"/>
          <w:b/>
          <w:sz w:val="24"/>
          <w:szCs w:val="24"/>
        </w:rPr>
        <w:t>.</w:t>
      </w:r>
    </w:p>
    <w:p w:rsidR="00E637C3" w:rsidRDefault="00E637C3">
      <w:pPr>
        <w:spacing w:after="0"/>
        <w:ind w:left="0"/>
        <w:rPr>
          <w:rFonts w:cs="Arial"/>
          <w:szCs w:val="20"/>
        </w:rPr>
      </w:pPr>
      <w:r>
        <w:rPr>
          <w:rFonts w:cs="Arial"/>
          <w:szCs w:val="20"/>
        </w:rPr>
        <w:br w:type="page"/>
      </w:r>
    </w:p>
    <w:p w:rsidR="00E637C3" w:rsidRPr="000C7B58" w:rsidRDefault="00E637C3" w:rsidP="00E637C3">
      <w:pPr>
        <w:ind w:left="1080"/>
        <w:rPr>
          <w:rFonts w:cs="Arial"/>
          <w:szCs w:val="20"/>
        </w:rPr>
      </w:pPr>
    </w:p>
    <w:p w:rsidR="00D74CFD" w:rsidRPr="000C7B58" w:rsidRDefault="00151150" w:rsidP="000C7B58">
      <w:pPr>
        <w:pStyle w:val="ListParagraph"/>
        <w:numPr>
          <w:ilvl w:val="0"/>
          <w:numId w:val="8"/>
        </w:numPr>
        <w:ind w:left="360"/>
        <w:rPr>
          <w:rFonts w:eastAsia="Times New Roman" w:cs="Arial"/>
          <w:szCs w:val="20"/>
        </w:rPr>
      </w:pPr>
      <w:r w:rsidRPr="000C7B58">
        <w:rPr>
          <w:rFonts w:cs="Arial"/>
          <w:b/>
          <w:szCs w:val="20"/>
          <w:u w:val="single"/>
        </w:rPr>
        <w:t>Unit Cost Worksheet</w:t>
      </w:r>
    </w:p>
    <w:p w:rsidR="00D74CFD" w:rsidRPr="008308BA" w:rsidRDefault="00D74CFD" w:rsidP="008308BA">
      <w:pPr>
        <w:pStyle w:val="ListParagraph"/>
        <w:numPr>
          <w:ilvl w:val="0"/>
          <w:numId w:val="10"/>
        </w:numPr>
        <w:rPr>
          <w:rFonts w:eastAsia="Times New Roman" w:cs="Arial"/>
          <w:b/>
          <w:bCs/>
          <w:szCs w:val="20"/>
          <w:u w:val="single"/>
        </w:rPr>
      </w:pPr>
      <w:r w:rsidRPr="008308BA">
        <w:rPr>
          <w:rFonts w:eastAsia="Times New Roman" w:cs="Arial"/>
          <w:szCs w:val="20"/>
        </w:rPr>
        <w:t>The Unit Cost Worksheet is located after the Personnel Allocations Worksheet.  Report all expenses (costs) r</w:t>
      </w:r>
      <w:r w:rsidRPr="008308BA">
        <w:rPr>
          <w:rFonts w:eastAsia="Times New Roman" w:cs="Arial"/>
          <w:szCs w:val="20"/>
          <w:u w:val="single"/>
        </w:rPr>
        <w:t>egardless</w:t>
      </w:r>
      <w:r w:rsidRPr="008308BA">
        <w:rPr>
          <w:rFonts w:eastAsia="Times New Roman" w:cs="Arial"/>
          <w:szCs w:val="20"/>
        </w:rPr>
        <w:t xml:space="preserve"> of funding source for each line item.  Budgeted expenditures that can be directly identified with one or more services should be manually allocated to those services.  Budgeted expenditures that apply to all servi</w:t>
      </w:r>
      <w:r w:rsidR="008308BA">
        <w:rPr>
          <w:rFonts w:eastAsia="Times New Roman" w:cs="Arial"/>
          <w:szCs w:val="20"/>
        </w:rPr>
        <w:t xml:space="preserve">ces should be allocated to the </w:t>
      </w:r>
      <w:r w:rsidRPr="008308BA">
        <w:rPr>
          <w:rFonts w:eastAsia="Times New Roman" w:cs="Arial"/>
          <w:szCs w:val="20"/>
        </w:rPr>
        <w:t>Management &amp; General Cost Pool</w:t>
      </w:r>
      <w:r w:rsidR="008308BA">
        <w:rPr>
          <w:rFonts w:eastAsia="Times New Roman" w:cs="Arial"/>
          <w:szCs w:val="20"/>
        </w:rPr>
        <w:t xml:space="preserve"> or the </w:t>
      </w:r>
      <w:r w:rsidRPr="008308BA">
        <w:rPr>
          <w:rFonts w:eastAsia="Times New Roman" w:cs="Arial"/>
          <w:szCs w:val="20"/>
        </w:rPr>
        <w:t>Faci</w:t>
      </w:r>
      <w:r w:rsidR="008308BA">
        <w:rPr>
          <w:rFonts w:eastAsia="Times New Roman" w:cs="Arial"/>
          <w:szCs w:val="20"/>
        </w:rPr>
        <w:t>lities &amp; Maintenance Cost Pool.</w:t>
      </w:r>
    </w:p>
    <w:p w:rsidR="00151150" w:rsidRPr="000C7B58" w:rsidRDefault="00151150" w:rsidP="008308BA">
      <w:pPr>
        <w:ind w:left="360"/>
        <w:rPr>
          <w:rFonts w:cs="Arial"/>
          <w:b/>
          <w:szCs w:val="20"/>
          <w:u w:val="single"/>
        </w:rPr>
      </w:pPr>
    </w:p>
    <w:p w:rsidR="00BC02C0" w:rsidRDefault="00BC02C0" w:rsidP="008308BA">
      <w:pPr>
        <w:pStyle w:val="ListParagraph"/>
        <w:numPr>
          <w:ilvl w:val="0"/>
          <w:numId w:val="10"/>
        </w:numPr>
        <w:rPr>
          <w:rFonts w:cs="Arial"/>
          <w:szCs w:val="20"/>
        </w:rPr>
      </w:pPr>
      <w:r w:rsidRPr="008308BA">
        <w:rPr>
          <w:rFonts w:cs="Arial"/>
          <w:szCs w:val="20"/>
        </w:rPr>
        <w:t xml:space="preserve">There are multiple “Check Points” located in the far right column on the Unit Cost Worksheet. </w:t>
      </w:r>
      <w:r w:rsidR="008308BA">
        <w:rPr>
          <w:rFonts w:cs="Arial"/>
          <w:szCs w:val="20"/>
        </w:rPr>
        <w:t>Review t</w:t>
      </w:r>
      <w:r w:rsidRPr="008308BA">
        <w:rPr>
          <w:rFonts w:cs="Arial"/>
          <w:szCs w:val="20"/>
        </w:rPr>
        <w:t xml:space="preserve">hese check </w:t>
      </w:r>
      <w:r w:rsidR="008308BA">
        <w:rPr>
          <w:rFonts w:cs="Arial"/>
          <w:szCs w:val="20"/>
        </w:rPr>
        <w:t xml:space="preserve">to locate </w:t>
      </w:r>
      <w:r w:rsidRPr="008308BA">
        <w:rPr>
          <w:rFonts w:cs="Arial"/>
          <w:szCs w:val="20"/>
        </w:rPr>
        <w:t>areas of concern within the spreadsheet.</w:t>
      </w:r>
    </w:p>
    <w:p w:rsidR="008308BA" w:rsidRPr="008308BA" w:rsidRDefault="008308BA" w:rsidP="008308BA">
      <w:pPr>
        <w:pStyle w:val="ListParagraph"/>
        <w:rPr>
          <w:rFonts w:cs="Arial"/>
          <w:szCs w:val="20"/>
        </w:rPr>
      </w:pPr>
    </w:p>
    <w:p w:rsidR="008308BA" w:rsidRDefault="008308BA" w:rsidP="008308BA">
      <w:pPr>
        <w:pStyle w:val="ListParagraph"/>
        <w:numPr>
          <w:ilvl w:val="0"/>
          <w:numId w:val="10"/>
        </w:numPr>
        <w:rPr>
          <w:rFonts w:cs="Arial"/>
          <w:szCs w:val="20"/>
        </w:rPr>
      </w:pPr>
      <w:r w:rsidRPr="008308BA">
        <w:rPr>
          <w:rFonts w:cs="Arial"/>
          <w:szCs w:val="20"/>
        </w:rPr>
        <w:t xml:space="preserve">Complete the </w:t>
      </w:r>
      <w:r w:rsidRPr="008308BA">
        <w:rPr>
          <w:rFonts w:cs="Arial"/>
          <w:b/>
          <w:szCs w:val="20"/>
        </w:rPr>
        <w:t>orange</w:t>
      </w:r>
      <w:r w:rsidRPr="008308BA">
        <w:rPr>
          <w:rFonts w:cs="Arial"/>
          <w:szCs w:val="20"/>
        </w:rPr>
        <w:t xml:space="preserve"> highlighted cells. </w:t>
      </w:r>
    </w:p>
    <w:p w:rsidR="008308BA" w:rsidRPr="008308BA" w:rsidRDefault="008308BA" w:rsidP="008308BA">
      <w:pPr>
        <w:pStyle w:val="ListParagraph"/>
        <w:ind w:left="1440"/>
        <w:rPr>
          <w:rFonts w:cs="Arial"/>
          <w:szCs w:val="20"/>
        </w:rPr>
      </w:pPr>
    </w:p>
    <w:p w:rsidR="008308BA" w:rsidRDefault="00597E5D" w:rsidP="00A75B5E">
      <w:pPr>
        <w:pStyle w:val="ListParagraph"/>
        <w:numPr>
          <w:ilvl w:val="0"/>
          <w:numId w:val="10"/>
        </w:numPr>
        <w:rPr>
          <w:rFonts w:cs="Arial"/>
          <w:szCs w:val="20"/>
        </w:rPr>
      </w:pPr>
      <w:r w:rsidRPr="008308BA">
        <w:rPr>
          <w:rFonts w:cs="Arial"/>
          <w:szCs w:val="20"/>
        </w:rPr>
        <w:t>Wages</w:t>
      </w:r>
      <w:r w:rsidR="00F15585" w:rsidRPr="008308BA">
        <w:rPr>
          <w:rFonts w:cs="Arial"/>
          <w:szCs w:val="20"/>
        </w:rPr>
        <w:t xml:space="preserve"> </w:t>
      </w:r>
      <w:r w:rsidRPr="008308BA">
        <w:rPr>
          <w:rFonts w:cs="Arial"/>
          <w:szCs w:val="20"/>
        </w:rPr>
        <w:t>will be carried over from Personnel Allocation Worksheet</w:t>
      </w:r>
      <w:r w:rsidR="00EA121E" w:rsidRPr="008308BA">
        <w:rPr>
          <w:rFonts w:cs="Arial"/>
          <w:szCs w:val="20"/>
        </w:rPr>
        <w:t>.</w:t>
      </w:r>
      <w:r w:rsidR="00F15585" w:rsidRPr="008308BA">
        <w:rPr>
          <w:rFonts w:cs="Arial"/>
          <w:szCs w:val="20"/>
        </w:rPr>
        <w:t xml:space="preserve"> </w:t>
      </w:r>
    </w:p>
    <w:p w:rsidR="008308BA" w:rsidRPr="008308BA" w:rsidRDefault="008308BA" w:rsidP="008308BA">
      <w:pPr>
        <w:pStyle w:val="ListParagraph"/>
        <w:rPr>
          <w:rFonts w:cs="Arial"/>
          <w:szCs w:val="20"/>
        </w:rPr>
      </w:pPr>
    </w:p>
    <w:p w:rsidR="008308BA" w:rsidRDefault="00597E5D" w:rsidP="002D2591">
      <w:pPr>
        <w:pStyle w:val="ListParagraph"/>
        <w:numPr>
          <w:ilvl w:val="0"/>
          <w:numId w:val="10"/>
        </w:numPr>
        <w:rPr>
          <w:rFonts w:cs="Arial"/>
          <w:szCs w:val="20"/>
        </w:rPr>
      </w:pPr>
      <w:r w:rsidRPr="008308BA">
        <w:rPr>
          <w:rFonts w:cs="Arial"/>
          <w:szCs w:val="20"/>
        </w:rPr>
        <w:t>Fringe</w:t>
      </w:r>
      <w:r w:rsidR="008308BA" w:rsidRPr="008308BA">
        <w:rPr>
          <w:rFonts w:cs="Arial"/>
          <w:szCs w:val="20"/>
        </w:rPr>
        <w:t xml:space="preserve">: </w:t>
      </w:r>
      <w:r w:rsidRPr="008308BA">
        <w:rPr>
          <w:rFonts w:cs="Arial"/>
          <w:szCs w:val="20"/>
        </w:rPr>
        <w:t>the total fringe expense must be</w:t>
      </w:r>
      <w:r w:rsidR="00761522" w:rsidRPr="008308BA">
        <w:rPr>
          <w:rFonts w:cs="Arial"/>
          <w:szCs w:val="20"/>
        </w:rPr>
        <w:t xml:space="preserve"> </w:t>
      </w:r>
      <w:r w:rsidR="008308BA" w:rsidRPr="008308BA">
        <w:rPr>
          <w:rFonts w:cs="Arial"/>
          <w:szCs w:val="20"/>
        </w:rPr>
        <w:t xml:space="preserve">entered, </w:t>
      </w:r>
      <w:r w:rsidR="00B64353" w:rsidRPr="008308BA">
        <w:rPr>
          <w:rFonts w:cs="Arial"/>
          <w:szCs w:val="20"/>
        </w:rPr>
        <w:t>then</w:t>
      </w:r>
      <w:r w:rsidRPr="008308BA">
        <w:rPr>
          <w:rFonts w:cs="Arial"/>
          <w:szCs w:val="20"/>
        </w:rPr>
        <w:t xml:space="preserve"> </w:t>
      </w:r>
      <w:r w:rsidR="00761522" w:rsidRPr="008308BA">
        <w:rPr>
          <w:rFonts w:cs="Arial"/>
          <w:szCs w:val="20"/>
        </w:rPr>
        <w:t xml:space="preserve">the total fringe </w:t>
      </w:r>
      <w:r w:rsidRPr="008308BA">
        <w:rPr>
          <w:rFonts w:cs="Arial"/>
          <w:szCs w:val="20"/>
        </w:rPr>
        <w:t xml:space="preserve">will be automatically </w:t>
      </w:r>
      <w:r w:rsidR="008308BA" w:rsidRPr="008308BA">
        <w:rPr>
          <w:rFonts w:cs="Arial"/>
          <w:szCs w:val="20"/>
        </w:rPr>
        <w:t xml:space="preserve">allocated based on the </w:t>
      </w:r>
      <w:r w:rsidRPr="008308BA">
        <w:rPr>
          <w:rFonts w:cs="Arial"/>
          <w:szCs w:val="20"/>
        </w:rPr>
        <w:t>Personnel Allocation</w:t>
      </w:r>
      <w:r w:rsidR="00761522" w:rsidRPr="008308BA">
        <w:rPr>
          <w:rFonts w:cs="Arial"/>
          <w:szCs w:val="20"/>
        </w:rPr>
        <w:t xml:space="preserve"> percentages</w:t>
      </w:r>
      <w:r w:rsidRPr="008308BA">
        <w:rPr>
          <w:rFonts w:cs="Arial"/>
          <w:szCs w:val="20"/>
        </w:rPr>
        <w:t>.</w:t>
      </w:r>
    </w:p>
    <w:p w:rsidR="008308BA" w:rsidRPr="008308BA" w:rsidRDefault="008308BA" w:rsidP="008308BA">
      <w:pPr>
        <w:pStyle w:val="ListParagraph"/>
        <w:rPr>
          <w:rFonts w:cs="Arial"/>
          <w:szCs w:val="20"/>
        </w:rPr>
      </w:pPr>
    </w:p>
    <w:p w:rsidR="008308BA" w:rsidRDefault="00F15585" w:rsidP="00592D5F">
      <w:pPr>
        <w:pStyle w:val="ListParagraph"/>
        <w:numPr>
          <w:ilvl w:val="0"/>
          <w:numId w:val="10"/>
        </w:numPr>
        <w:rPr>
          <w:rFonts w:cs="Arial"/>
          <w:szCs w:val="20"/>
        </w:rPr>
      </w:pPr>
      <w:r w:rsidRPr="008308BA">
        <w:rPr>
          <w:rFonts w:cs="Arial"/>
          <w:szCs w:val="20"/>
        </w:rPr>
        <w:t xml:space="preserve">All </w:t>
      </w:r>
      <w:r w:rsidR="008308BA" w:rsidRPr="008308BA">
        <w:rPr>
          <w:rFonts w:cs="Arial"/>
          <w:szCs w:val="20"/>
        </w:rPr>
        <w:t xml:space="preserve">other line item expense categories must be manually entered under the appropriate service category. </w:t>
      </w:r>
    </w:p>
    <w:p w:rsidR="008308BA" w:rsidRPr="008308BA" w:rsidRDefault="008308BA" w:rsidP="008308BA">
      <w:pPr>
        <w:pStyle w:val="ListParagraph"/>
        <w:rPr>
          <w:rFonts w:cs="Arial"/>
          <w:szCs w:val="20"/>
        </w:rPr>
      </w:pPr>
    </w:p>
    <w:p w:rsidR="008308BA" w:rsidRDefault="00EA121E" w:rsidP="00592D5F">
      <w:pPr>
        <w:pStyle w:val="ListParagraph"/>
        <w:numPr>
          <w:ilvl w:val="0"/>
          <w:numId w:val="10"/>
        </w:numPr>
        <w:rPr>
          <w:rFonts w:cs="Arial"/>
          <w:szCs w:val="20"/>
        </w:rPr>
      </w:pPr>
      <w:r w:rsidRPr="008308BA">
        <w:rPr>
          <w:rFonts w:cs="Arial"/>
          <w:szCs w:val="20"/>
        </w:rPr>
        <w:t>Subcontractors</w:t>
      </w:r>
    </w:p>
    <w:p w:rsidR="008308BA" w:rsidRPr="008308BA" w:rsidRDefault="008308BA" w:rsidP="008308BA">
      <w:pPr>
        <w:pStyle w:val="ListParagraph"/>
        <w:rPr>
          <w:rFonts w:cs="Arial"/>
          <w:szCs w:val="20"/>
        </w:rPr>
      </w:pPr>
    </w:p>
    <w:p w:rsidR="008308BA" w:rsidRDefault="008308BA" w:rsidP="00DC32AF">
      <w:pPr>
        <w:pStyle w:val="ListParagraph"/>
        <w:numPr>
          <w:ilvl w:val="0"/>
          <w:numId w:val="11"/>
        </w:numPr>
        <w:ind w:left="1080"/>
        <w:rPr>
          <w:rFonts w:cs="Arial"/>
          <w:szCs w:val="20"/>
        </w:rPr>
      </w:pPr>
      <w:r>
        <w:rPr>
          <w:rFonts w:cs="Arial"/>
          <w:szCs w:val="20"/>
        </w:rPr>
        <w:t>M</w:t>
      </w:r>
      <w:r w:rsidR="00EA121E" w:rsidRPr="008308BA">
        <w:rPr>
          <w:rFonts w:cs="Arial"/>
          <w:szCs w:val="20"/>
        </w:rPr>
        <w:t>ultiple subcontracts for services</w:t>
      </w:r>
      <w:r w:rsidR="004C4610" w:rsidRPr="008308BA">
        <w:rPr>
          <w:rFonts w:cs="Arial"/>
          <w:szCs w:val="20"/>
        </w:rPr>
        <w:t xml:space="preserve"> having the</w:t>
      </w:r>
      <w:r w:rsidR="00EA121E" w:rsidRPr="008308BA">
        <w:rPr>
          <w:rFonts w:cs="Arial"/>
          <w:szCs w:val="20"/>
        </w:rPr>
        <w:t xml:space="preserve"> same unit costs can be consolidated and should be spread appropriately (i.e. In-Home Service subcontract could be spread to Homemaker, Person</w:t>
      </w:r>
      <w:r>
        <w:rPr>
          <w:rFonts w:cs="Arial"/>
          <w:szCs w:val="20"/>
        </w:rPr>
        <w:t>al, Care, and In-Home Respite)</w:t>
      </w:r>
    </w:p>
    <w:p w:rsidR="008308BA" w:rsidRPr="008308BA" w:rsidRDefault="008308BA" w:rsidP="00DC32AF">
      <w:pPr>
        <w:pStyle w:val="ListParagraph"/>
        <w:ind w:left="1080"/>
        <w:rPr>
          <w:rFonts w:cs="Arial"/>
          <w:szCs w:val="20"/>
        </w:rPr>
      </w:pPr>
    </w:p>
    <w:p w:rsidR="00DC32AF" w:rsidRDefault="008308BA" w:rsidP="00DC32AF">
      <w:pPr>
        <w:pStyle w:val="ListParagraph"/>
        <w:numPr>
          <w:ilvl w:val="0"/>
          <w:numId w:val="11"/>
        </w:numPr>
        <w:ind w:left="1080"/>
        <w:rPr>
          <w:rFonts w:cs="Arial"/>
          <w:szCs w:val="20"/>
        </w:rPr>
      </w:pPr>
      <w:r>
        <w:rPr>
          <w:rFonts w:cs="Arial"/>
          <w:szCs w:val="20"/>
        </w:rPr>
        <w:t>S</w:t>
      </w:r>
      <w:r w:rsidR="00EA121E" w:rsidRPr="008308BA">
        <w:rPr>
          <w:rFonts w:cs="Arial"/>
          <w:szCs w:val="20"/>
        </w:rPr>
        <w:t xml:space="preserve">ubcontracts </w:t>
      </w:r>
      <w:r>
        <w:rPr>
          <w:rFonts w:cs="Arial"/>
          <w:szCs w:val="20"/>
        </w:rPr>
        <w:t xml:space="preserve">with different costs per unit must </w:t>
      </w:r>
      <w:r w:rsidR="00DC32AF">
        <w:rPr>
          <w:rFonts w:cs="Arial"/>
          <w:szCs w:val="20"/>
        </w:rPr>
        <w:t>be entered on separate lines</w:t>
      </w:r>
    </w:p>
    <w:p w:rsidR="00DC32AF" w:rsidRPr="00DC32AF" w:rsidRDefault="00DC32AF" w:rsidP="00DC32AF">
      <w:pPr>
        <w:pStyle w:val="ListParagraph"/>
        <w:ind w:left="1080"/>
        <w:rPr>
          <w:rFonts w:cs="Arial"/>
          <w:szCs w:val="20"/>
        </w:rPr>
      </w:pPr>
    </w:p>
    <w:p w:rsidR="00DC32AF" w:rsidRDefault="00DC32AF" w:rsidP="00DC32AF">
      <w:pPr>
        <w:pStyle w:val="ListParagraph"/>
        <w:numPr>
          <w:ilvl w:val="0"/>
          <w:numId w:val="11"/>
        </w:numPr>
        <w:ind w:left="1080"/>
        <w:rPr>
          <w:rFonts w:cs="Arial"/>
          <w:szCs w:val="20"/>
        </w:rPr>
      </w:pPr>
      <w:r w:rsidRPr="00DC32AF">
        <w:rPr>
          <w:rFonts w:cs="Arial"/>
          <w:szCs w:val="20"/>
        </w:rPr>
        <w:t xml:space="preserve">Amy food contractors </w:t>
      </w:r>
      <w:r>
        <w:rPr>
          <w:rFonts w:cs="Arial"/>
          <w:szCs w:val="20"/>
        </w:rPr>
        <w:t xml:space="preserve">must </w:t>
      </w:r>
      <w:r w:rsidRPr="00DC32AF">
        <w:rPr>
          <w:rFonts w:cs="Arial"/>
          <w:szCs w:val="20"/>
        </w:rPr>
        <w:t xml:space="preserve">be </w:t>
      </w:r>
      <w:r w:rsidR="00AD4938" w:rsidRPr="00DC32AF">
        <w:rPr>
          <w:rFonts w:cs="Arial"/>
          <w:szCs w:val="20"/>
        </w:rPr>
        <w:t>shown under subcontracts</w:t>
      </w:r>
    </w:p>
    <w:p w:rsidR="00DC32AF" w:rsidRPr="00DC32AF" w:rsidRDefault="00DC32AF" w:rsidP="00DC32AF">
      <w:pPr>
        <w:pStyle w:val="ListParagraph"/>
        <w:ind w:left="1080"/>
        <w:rPr>
          <w:rFonts w:cs="Arial"/>
          <w:szCs w:val="20"/>
        </w:rPr>
      </w:pPr>
    </w:p>
    <w:p w:rsidR="00AD4938" w:rsidRPr="00DC32AF" w:rsidRDefault="00DC32AF" w:rsidP="00DC32AF">
      <w:pPr>
        <w:pStyle w:val="ListParagraph"/>
        <w:numPr>
          <w:ilvl w:val="0"/>
          <w:numId w:val="11"/>
        </w:numPr>
        <w:ind w:left="1080"/>
        <w:rPr>
          <w:rFonts w:cs="Arial"/>
          <w:szCs w:val="20"/>
        </w:rPr>
      </w:pPr>
      <w:r>
        <w:rPr>
          <w:rFonts w:cs="Arial"/>
          <w:szCs w:val="20"/>
        </w:rPr>
        <w:t>I</w:t>
      </w:r>
      <w:r w:rsidR="00AD4938" w:rsidRPr="00DC32AF">
        <w:rPr>
          <w:rFonts w:cs="Arial"/>
          <w:szCs w:val="20"/>
        </w:rPr>
        <w:t xml:space="preserve">f there are different </w:t>
      </w:r>
      <w:r w:rsidR="003819FC" w:rsidRPr="00DC32AF">
        <w:rPr>
          <w:rFonts w:cs="Arial"/>
          <w:szCs w:val="20"/>
        </w:rPr>
        <w:t xml:space="preserve">meal </w:t>
      </w:r>
      <w:r w:rsidR="00AD4938" w:rsidRPr="00DC32AF">
        <w:rPr>
          <w:rFonts w:cs="Arial"/>
          <w:szCs w:val="20"/>
        </w:rPr>
        <w:t xml:space="preserve">costs associated with the </w:t>
      </w:r>
      <w:r>
        <w:rPr>
          <w:rFonts w:cs="Arial"/>
          <w:szCs w:val="20"/>
        </w:rPr>
        <w:t xml:space="preserve">food subcontractors </w:t>
      </w:r>
      <w:r w:rsidR="00AD4938" w:rsidRPr="00DC32AF">
        <w:rPr>
          <w:rFonts w:cs="Arial"/>
          <w:szCs w:val="20"/>
        </w:rPr>
        <w:t>multiple</w:t>
      </w:r>
      <w:r w:rsidR="003819FC" w:rsidRPr="00DC32AF">
        <w:rPr>
          <w:rFonts w:cs="Arial"/>
          <w:szCs w:val="20"/>
        </w:rPr>
        <w:t xml:space="preserve"> subcontract </w:t>
      </w:r>
      <w:r w:rsidR="00AD4938" w:rsidRPr="00DC32AF">
        <w:rPr>
          <w:rFonts w:cs="Arial"/>
          <w:szCs w:val="20"/>
        </w:rPr>
        <w:t xml:space="preserve">lines </w:t>
      </w:r>
      <w:r w:rsidR="003819FC" w:rsidRPr="00DC32AF">
        <w:rPr>
          <w:rFonts w:cs="Arial"/>
          <w:szCs w:val="20"/>
        </w:rPr>
        <w:t>must be utilize to show all cost information.</w:t>
      </w:r>
    </w:p>
    <w:p w:rsidR="00AD4938" w:rsidRPr="008308BA" w:rsidRDefault="00AD4938" w:rsidP="008308BA">
      <w:pPr>
        <w:rPr>
          <w:rFonts w:cs="Arial"/>
          <w:szCs w:val="20"/>
        </w:rPr>
      </w:pPr>
    </w:p>
    <w:p w:rsidR="00DC32AF" w:rsidRPr="00DC32AF" w:rsidRDefault="00306493" w:rsidP="002E356D">
      <w:pPr>
        <w:pStyle w:val="ListParagraph"/>
        <w:numPr>
          <w:ilvl w:val="0"/>
          <w:numId w:val="10"/>
        </w:numPr>
      </w:pPr>
      <w:r w:rsidRPr="00DC32AF">
        <w:rPr>
          <w:rFonts w:cs="Arial"/>
          <w:szCs w:val="20"/>
        </w:rPr>
        <w:t>The following In-Kind Categories have been incorporated into the spreadsheet: space, supplies, and volunteers. If additional in-kind categories are utilized by your Agency, insert a row and add the necessary in-kind component</w:t>
      </w:r>
      <w:r w:rsidR="005F0790" w:rsidRPr="00DC32AF">
        <w:rPr>
          <w:rFonts w:cs="Arial"/>
          <w:szCs w:val="20"/>
        </w:rPr>
        <w:t xml:space="preserve"> information</w:t>
      </w:r>
      <w:r w:rsidRPr="00DC32AF">
        <w:rPr>
          <w:rFonts w:cs="Arial"/>
          <w:szCs w:val="20"/>
        </w:rPr>
        <w:t>.</w:t>
      </w:r>
      <w:r w:rsidR="00DC32AF" w:rsidRPr="00DC32AF">
        <w:rPr>
          <w:rFonts w:cs="Arial"/>
          <w:szCs w:val="20"/>
        </w:rPr>
        <w:t xml:space="preserve"> </w:t>
      </w:r>
      <w:r w:rsidRPr="00DC32AF">
        <w:rPr>
          <w:rFonts w:cs="Arial"/>
          <w:szCs w:val="20"/>
        </w:rPr>
        <w:t>Note: In-kind claimed on the Unit Cost Worksheet must have the appropriate in-kind commitment forms included in the Contract Module and each component of in-kind must be trackable.</w:t>
      </w:r>
    </w:p>
    <w:p w:rsidR="00DC32AF" w:rsidRDefault="00DC32AF" w:rsidP="00DC32AF">
      <w:pPr>
        <w:pStyle w:val="ListParagraph"/>
      </w:pPr>
    </w:p>
    <w:p w:rsidR="00DC32AF" w:rsidRDefault="00DD16B0" w:rsidP="002E356D">
      <w:pPr>
        <w:pStyle w:val="ListParagraph"/>
        <w:numPr>
          <w:ilvl w:val="0"/>
          <w:numId w:val="10"/>
        </w:numPr>
      </w:pPr>
      <w:r w:rsidRPr="00DC32AF">
        <w:t>Service Subcontract Allowance</w:t>
      </w:r>
      <w:r w:rsidR="00EE1988" w:rsidRPr="00DC32AF">
        <w:t xml:space="preserve"> and Service Subcontract Adjustment </w:t>
      </w:r>
    </w:p>
    <w:p w:rsidR="00DC32AF" w:rsidRDefault="00DC32AF" w:rsidP="00DC32AF">
      <w:pPr>
        <w:pStyle w:val="ListParagraph"/>
      </w:pPr>
    </w:p>
    <w:p w:rsidR="0053029A" w:rsidRPr="00DC32AF" w:rsidRDefault="00DC32AF" w:rsidP="00DC32AF">
      <w:pPr>
        <w:pStyle w:val="ListParagraph"/>
        <w:numPr>
          <w:ilvl w:val="0"/>
          <w:numId w:val="12"/>
        </w:numPr>
      </w:pPr>
      <w:r>
        <w:t>I</w:t>
      </w:r>
      <w:r w:rsidR="0053029A" w:rsidRPr="00DC32AF">
        <w:t xml:space="preserve">nput </w:t>
      </w:r>
      <w:r w:rsidR="00DD16B0" w:rsidRPr="00DC32AF">
        <w:t xml:space="preserve">the amount of the subcontract if it is under $25,000 and input a maximum of $25,000 </w:t>
      </w:r>
      <w:r w:rsidR="00DD16B0" w:rsidRPr="00DC32AF">
        <w:rPr>
          <w:b/>
        </w:rPr>
        <w:t>per subcontract</w:t>
      </w:r>
      <w:r w:rsidR="00DD16B0" w:rsidRPr="00DC32AF">
        <w:t xml:space="preserve"> for all subcontracts that are over $25,000.</w:t>
      </w:r>
      <w:r w:rsidR="0053029A" w:rsidRPr="00DC32AF">
        <w:t xml:space="preserve"> </w:t>
      </w:r>
    </w:p>
    <w:p w:rsidR="00F305E8" w:rsidRPr="00DC32AF" w:rsidRDefault="00F305E8" w:rsidP="00DC32AF"/>
    <w:p w:rsidR="00D12E42" w:rsidRPr="00DC32AF" w:rsidRDefault="0053029A" w:rsidP="00DC32AF">
      <w:pPr>
        <w:pStyle w:val="ListParagraph"/>
        <w:ind w:left="1440"/>
      </w:pPr>
      <w:r w:rsidRPr="00DC32AF">
        <w:t>Example: if the following Homemaker subcontracts are noted as subcontracts:</w:t>
      </w:r>
      <w:r w:rsidR="00DD16B0" w:rsidRPr="00DC32AF">
        <w:t xml:space="preserve"> </w:t>
      </w:r>
    </w:p>
    <w:p w:rsidR="0053029A" w:rsidRPr="00DC32AF" w:rsidRDefault="0053029A" w:rsidP="00DC32AF">
      <w:pPr>
        <w:pStyle w:val="ListParagraph"/>
        <w:ind w:left="1440"/>
      </w:pPr>
      <w:r w:rsidRPr="00DC32AF">
        <w:t>ABC H</w:t>
      </w:r>
      <w:r w:rsidR="00DC32AF">
        <w:t xml:space="preserve">omemaker </w:t>
      </w:r>
      <w:r w:rsidR="00DC32AF">
        <w:tab/>
      </w:r>
      <w:r w:rsidRPr="00DC32AF">
        <w:t>$150,000</w:t>
      </w:r>
    </w:p>
    <w:p w:rsidR="0053029A" w:rsidRPr="00DC32AF" w:rsidRDefault="0053029A" w:rsidP="00DC32AF">
      <w:pPr>
        <w:pStyle w:val="ListParagraph"/>
        <w:ind w:left="1440"/>
      </w:pPr>
      <w:r w:rsidRPr="00DC32AF">
        <w:t xml:space="preserve">EZ </w:t>
      </w:r>
      <w:r w:rsidR="00DC32AF">
        <w:t>Homemaker</w:t>
      </w:r>
      <w:r w:rsidR="00DC32AF">
        <w:tab/>
      </w:r>
      <w:r w:rsidR="00DC32AF">
        <w:tab/>
      </w:r>
      <w:r w:rsidRPr="00DC32AF">
        <w:t xml:space="preserve"> </w:t>
      </w:r>
      <w:r w:rsidR="00DC32AF">
        <w:t>$</w:t>
      </w:r>
      <w:r w:rsidRPr="00DC32AF">
        <w:t xml:space="preserve"> 16,000</w:t>
      </w:r>
    </w:p>
    <w:p w:rsidR="0053029A" w:rsidRPr="00DC32AF" w:rsidRDefault="00DC32AF" w:rsidP="00DC32AF">
      <w:pPr>
        <w:pStyle w:val="ListParagraph"/>
        <w:ind w:left="1440"/>
      </w:pPr>
      <w:r>
        <w:t>Acme Homemaker</w:t>
      </w:r>
      <w:r>
        <w:tab/>
        <w:t xml:space="preserve"> </w:t>
      </w:r>
      <w:r w:rsidR="0053029A" w:rsidRPr="00DC32AF">
        <w:t>$ 22,000</w:t>
      </w:r>
    </w:p>
    <w:p w:rsidR="0053029A" w:rsidRPr="00DC32AF" w:rsidRDefault="0053029A" w:rsidP="00DC32AF"/>
    <w:p w:rsidR="0053029A" w:rsidRPr="00DC32AF" w:rsidRDefault="0053029A" w:rsidP="00DC32AF">
      <w:pPr>
        <w:pStyle w:val="ListParagraph"/>
        <w:numPr>
          <w:ilvl w:val="0"/>
          <w:numId w:val="12"/>
        </w:numPr>
      </w:pPr>
      <w:r w:rsidRPr="00DC32AF">
        <w:t>The Service Subcontractor Allowance amount would be $63,000 ($25,000 for ABC, $16,000 for EZ, and $22,000 for Premier – for a total of $63,000.</w:t>
      </w:r>
    </w:p>
    <w:p w:rsidR="00EE1988" w:rsidRPr="00DC32AF" w:rsidRDefault="00EE1988" w:rsidP="00DC32AF"/>
    <w:p w:rsidR="00EE1988" w:rsidRDefault="00DC32AF" w:rsidP="00DC32AF">
      <w:pPr>
        <w:pStyle w:val="ListParagraph"/>
        <w:numPr>
          <w:ilvl w:val="0"/>
          <w:numId w:val="12"/>
        </w:numPr>
      </w:pPr>
      <w:r>
        <w:lastRenderedPageBreak/>
        <w:t>T</w:t>
      </w:r>
      <w:r w:rsidR="00EE1988" w:rsidRPr="00DC32AF">
        <w:t>he Subcontract Adjustment will automatically calculate based on the information input for the</w:t>
      </w:r>
      <w:r>
        <w:t xml:space="preserve"> Service Subcontract Allowance</w:t>
      </w:r>
      <w:r w:rsidR="00EE1988" w:rsidRPr="00DC32AF">
        <w:t xml:space="preserve">. The SSA will then be deducted from the Total Allowable Costs to create </w:t>
      </w:r>
      <w:r>
        <w:t>the Total Modified Direct Costs</w:t>
      </w:r>
      <w:r w:rsidR="00EE1988" w:rsidRPr="00DC32AF">
        <w:t>, which is the basis for the Reallocatio</w:t>
      </w:r>
      <w:r>
        <w:t>n of Management &amp; General Costs.</w:t>
      </w:r>
    </w:p>
    <w:p w:rsidR="00DC32AF" w:rsidRPr="00DC32AF" w:rsidRDefault="00DC32AF" w:rsidP="00DC32AF"/>
    <w:p w:rsidR="00CF2AC5" w:rsidRDefault="00CF2AC5" w:rsidP="004D7C20">
      <w:pPr>
        <w:pStyle w:val="ListParagraph"/>
        <w:numPr>
          <w:ilvl w:val="0"/>
          <w:numId w:val="10"/>
        </w:numPr>
      </w:pPr>
      <w:r>
        <w:t>R</w:t>
      </w:r>
      <w:r w:rsidR="000173F8" w:rsidRPr="00DC32AF">
        <w:t>eallocate Facilities &amp; Maintenance (Space) Costs</w:t>
      </w:r>
      <w:r>
        <w:t xml:space="preserve"> - Enter the </w:t>
      </w:r>
      <w:r w:rsidR="00950305" w:rsidRPr="00DC32AF">
        <w:t xml:space="preserve">Square Footage </w:t>
      </w:r>
      <w:r>
        <w:t xml:space="preserve">for each service area, this is an optional allocation. </w:t>
      </w:r>
    </w:p>
    <w:p w:rsidR="00CF2AC5" w:rsidRDefault="00CF2AC5" w:rsidP="00CF2AC5">
      <w:pPr>
        <w:pStyle w:val="ListParagraph"/>
      </w:pPr>
    </w:p>
    <w:p w:rsidR="00CF2AC5" w:rsidRDefault="00797D4C" w:rsidP="00B1023D">
      <w:pPr>
        <w:pStyle w:val="ListParagraph"/>
        <w:numPr>
          <w:ilvl w:val="0"/>
          <w:numId w:val="10"/>
        </w:numPr>
      </w:pPr>
      <w:r w:rsidRPr="00DC32AF">
        <w:t>Numbe</w:t>
      </w:r>
      <w:r w:rsidR="00CF2AC5">
        <w:t>r of Billing Units (estimated) – Enter the estimated billing units for each service category.</w:t>
      </w:r>
    </w:p>
    <w:p w:rsidR="00CF2AC5" w:rsidRDefault="00CF2AC5" w:rsidP="00CF2AC5">
      <w:pPr>
        <w:pStyle w:val="ListParagraph"/>
      </w:pPr>
    </w:p>
    <w:p w:rsidR="00CF2AC5" w:rsidRDefault="00102F3B" w:rsidP="00B1023D">
      <w:pPr>
        <w:pStyle w:val="ListParagraph"/>
        <w:numPr>
          <w:ilvl w:val="0"/>
          <w:numId w:val="10"/>
        </w:numPr>
      </w:pPr>
      <w:r w:rsidRPr="00DC32AF">
        <w:t xml:space="preserve">Additional Subcontract Information </w:t>
      </w:r>
    </w:p>
    <w:p w:rsidR="00CF2AC5" w:rsidRDefault="00CF2AC5" w:rsidP="00CF2AC5">
      <w:pPr>
        <w:pStyle w:val="ListParagraph"/>
      </w:pPr>
    </w:p>
    <w:p w:rsidR="00102F3B" w:rsidRPr="00DC32AF" w:rsidRDefault="00102F3B" w:rsidP="00CF2AC5">
      <w:pPr>
        <w:pStyle w:val="ListParagraph"/>
        <w:numPr>
          <w:ilvl w:val="0"/>
          <w:numId w:val="13"/>
        </w:numPr>
      </w:pPr>
      <w:r w:rsidRPr="00DC32AF">
        <w:t>Th</w:t>
      </w:r>
      <w:r w:rsidR="00CD14FD" w:rsidRPr="00DC32AF">
        <w:t>e Subcontractor Information along with the T</w:t>
      </w:r>
      <w:r w:rsidR="00CF2AC5">
        <w:t xml:space="preserve">otal Unit Analysis Information </w:t>
      </w:r>
      <w:r w:rsidRPr="00DC32AF">
        <w:t xml:space="preserve">will assist you in appropriately estimating units </w:t>
      </w:r>
      <w:r w:rsidR="00233DDA" w:rsidRPr="00DC32AF">
        <w:t>for many of the services provided.</w:t>
      </w:r>
    </w:p>
    <w:p w:rsidR="00CF2AC5" w:rsidRDefault="00CF2AC5" w:rsidP="00CF2AC5">
      <w:pPr>
        <w:pStyle w:val="ListParagraph"/>
        <w:numPr>
          <w:ilvl w:val="0"/>
          <w:numId w:val="13"/>
        </w:numPr>
      </w:pPr>
      <w:r w:rsidRPr="00CF2AC5">
        <w:t xml:space="preserve">Enter the </w:t>
      </w:r>
      <w:r w:rsidR="008C7AD7" w:rsidRPr="00CF2AC5">
        <w:t xml:space="preserve">number of units affiliated with each Subcontract </w:t>
      </w:r>
    </w:p>
    <w:p w:rsidR="00CF2AC5" w:rsidRDefault="00CF2AC5" w:rsidP="00DC32AF"/>
    <w:p w:rsidR="00CF2AC5" w:rsidRDefault="00CF2AC5" w:rsidP="00D95E01">
      <w:pPr>
        <w:pStyle w:val="ListParagraph"/>
        <w:numPr>
          <w:ilvl w:val="0"/>
          <w:numId w:val="10"/>
        </w:numPr>
      </w:pPr>
      <w:r>
        <w:t>Review and analyze the following lines:</w:t>
      </w:r>
    </w:p>
    <w:p w:rsidR="00CF2AC5" w:rsidRDefault="00CF2AC5" w:rsidP="00CF2AC5">
      <w:pPr>
        <w:pStyle w:val="ListParagraph"/>
        <w:numPr>
          <w:ilvl w:val="0"/>
          <w:numId w:val="14"/>
        </w:numPr>
      </w:pPr>
      <w:r>
        <w:t>Total Costs by Service</w:t>
      </w:r>
    </w:p>
    <w:p w:rsidR="00CF2AC5" w:rsidRDefault="00CF2AC5" w:rsidP="00CF2AC5">
      <w:pPr>
        <w:pStyle w:val="ListParagraph"/>
        <w:numPr>
          <w:ilvl w:val="0"/>
          <w:numId w:val="14"/>
        </w:numPr>
      </w:pPr>
      <w:r>
        <w:t>Unit Cost (Actual Cost)</w:t>
      </w:r>
    </w:p>
    <w:p w:rsidR="00CF2AC5" w:rsidRDefault="00CF2AC5" w:rsidP="00CF2AC5">
      <w:pPr>
        <w:pStyle w:val="ListParagraph"/>
        <w:numPr>
          <w:ilvl w:val="0"/>
          <w:numId w:val="14"/>
        </w:numPr>
      </w:pPr>
      <w:r>
        <w:t>Unit Rate (Actual Cost less In-Kind Support)</w:t>
      </w:r>
    </w:p>
    <w:p w:rsidR="00233DDA" w:rsidRPr="000C7B58" w:rsidRDefault="00233DDA" w:rsidP="008308BA">
      <w:pPr>
        <w:rPr>
          <w:rFonts w:cs="Arial"/>
          <w:szCs w:val="20"/>
        </w:rPr>
      </w:pPr>
    </w:p>
    <w:p w:rsidR="000736A0" w:rsidRPr="00CF2AC5" w:rsidRDefault="008818C1" w:rsidP="00E637C3">
      <w:pPr>
        <w:ind w:left="0"/>
        <w:jc w:val="center"/>
        <w:rPr>
          <w:rFonts w:cs="Arial"/>
          <w:sz w:val="24"/>
          <w:szCs w:val="24"/>
        </w:rPr>
      </w:pPr>
      <w:r w:rsidRPr="00CF2AC5">
        <w:rPr>
          <w:rFonts w:cs="Arial"/>
          <w:b/>
          <w:sz w:val="24"/>
          <w:szCs w:val="24"/>
        </w:rPr>
        <w:t xml:space="preserve">Review and analyze the multiple </w:t>
      </w:r>
      <w:r w:rsidR="00CF2AC5" w:rsidRPr="00CF2AC5">
        <w:rPr>
          <w:rFonts w:cs="Arial"/>
          <w:b/>
          <w:sz w:val="24"/>
          <w:szCs w:val="24"/>
        </w:rPr>
        <w:t>“</w:t>
      </w:r>
      <w:r w:rsidRPr="00CF2AC5">
        <w:rPr>
          <w:rFonts w:cs="Arial"/>
          <w:b/>
          <w:sz w:val="24"/>
          <w:szCs w:val="24"/>
        </w:rPr>
        <w:t>Check</w:t>
      </w:r>
      <w:r w:rsidR="00CF2AC5" w:rsidRPr="00CF2AC5">
        <w:rPr>
          <w:rFonts w:cs="Arial"/>
          <w:b/>
          <w:sz w:val="24"/>
          <w:szCs w:val="24"/>
        </w:rPr>
        <w:t xml:space="preserve">” columns </w:t>
      </w:r>
      <w:r w:rsidRPr="00CF2AC5">
        <w:rPr>
          <w:rFonts w:cs="Arial"/>
          <w:b/>
          <w:sz w:val="24"/>
          <w:szCs w:val="24"/>
        </w:rPr>
        <w:t>locate</w:t>
      </w:r>
      <w:r w:rsidR="007F29DB" w:rsidRPr="00CF2AC5">
        <w:rPr>
          <w:rFonts w:cs="Arial"/>
          <w:b/>
          <w:sz w:val="24"/>
          <w:szCs w:val="24"/>
        </w:rPr>
        <w:t xml:space="preserve">d </w:t>
      </w:r>
      <w:r w:rsidR="00CF2AC5" w:rsidRPr="00CF2AC5">
        <w:rPr>
          <w:rFonts w:cs="Arial"/>
          <w:b/>
          <w:sz w:val="24"/>
          <w:szCs w:val="24"/>
        </w:rPr>
        <w:t xml:space="preserve">on the </w:t>
      </w:r>
      <w:r w:rsidR="00BE4ACA" w:rsidRPr="00CF2AC5">
        <w:rPr>
          <w:rFonts w:cs="Arial"/>
          <w:b/>
          <w:sz w:val="24"/>
          <w:szCs w:val="24"/>
        </w:rPr>
        <w:t xml:space="preserve">far right </w:t>
      </w:r>
      <w:r w:rsidRPr="00CF2AC5">
        <w:rPr>
          <w:rFonts w:cs="Arial"/>
          <w:b/>
          <w:sz w:val="24"/>
          <w:szCs w:val="24"/>
        </w:rPr>
        <w:t>on the Unit Cost Worksheet</w:t>
      </w:r>
      <w:r w:rsidR="00CF2AC5" w:rsidRPr="00CF2AC5">
        <w:rPr>
          <w:rFonts w:cs="Arial"/>
          <w:b/>
          <w:sz w:val="24"/>
          <w:szCs w:val="24"/>
        </w:rPr>
        <w:t xml:space="preserve">. </w:t>
      </w:r>
      <w:r w:rsidRPr="00CF2AC5">
        <w:rPr>
          <w:rFonts w:cs="Arial"/>
          <w:b/>
          <w:sz w:val="24"/>
          <w:szCs w:val="24"/>
        </w:rPr>
        <w:t xml:space="preserve">All </w:t>
      </w:r>
      <w:r w:rsidR="00CF2AC5" w:rsidRPr="00CF2AC5">
        <w:rPr>
          <w:rFonts w:cs="Arial"/>
          <w:b/>
          <w:sz w:val="24"/>
          <w:szCs w:val="24"/>
        </w:rPr>
        <w:t>l</w:t>
      </w:r>
      <w:r w:rsidRPr="00CF2AC5">
        <w:rPr>
          <w:rFonts w:cs="Arial"/>
          <w:b/>
          <w:sz w:val="24"/>
          <w:szCs w:val="24"/>
        </w:rPr>
        <w:t xml:space="preserve">ine </w:t>
      </w:r>
      <w:r w:rsidR="00CF2AC5" w:rsidRPr="00CF2AC5">
        <w:rPr>
          <w:rFonts w:cs="Arial"/>
          <w:b/>
          <w:sz w:val="24"/>
          <w:szCs w:val="24"/>
        </w:rPr>
        <w:t>i</w:t>
      </w:r>
      <w:r w:rsidRPr="00CF2AC5">
        <w:rPr>
          <w:rFonts w:cs="Arial"/>
          <w:b/>
          <w:sz w:val="24"/>
          <w:szCs w:val="24"/>
        </w:rPr>
        <w:t xml:space="preserve">tem </w:t>
      </w:r>
      <w:r w:rsidR="00CF2AC5" w:rsidRPr="00CF2AC5">
        <w:rPr>
          <w:rFonts w:cs="Arial"/>
          <w:b/>
          <w:sz w:val="24"/>
          <w:szCs w:val="24"/>
        </w:rPr>
        <w:t>e</w:t>
      </w:r>
      <w:r w:rsidRPr="00CF2AC5">
        <w:rPr>
          <w:rFonts w:cs="Arial"/>
          <w:b/>
          <w:sz w:val="24"/>
          <w:szCs w:val="24"/>
        </w:rPr>
        <w:t>xpenses</w:t>
      </w:r>
      <w:r w:rsidR="00BC06F2" w:rsidRPr="00CF2AC5">
        <w:rPr>
          <w:rFonts w:cs="Arial"/>
          <w:b/>
          <w:sz w:val="24"/>
          <w:szCs w:val="24"/>
        </w:rPr>
        <w:t xml:space="preserve"> </w:t>
      </w:r>
      <w:r w:rsidRPr="00CF2AC5">
        <w:rPr>
          <w:rFonts w:cs="Arial"/>
          <w:b/>
          <w:sz w:val="24"/>
          <w:szCs w:val="24"/>
        </w:rPr>
        <w:t xml:space="preserve">should </w:t>
      </w:r>
      <w:r w:rsidR="00CF2AC5" w:rsidRPr="00CF2AC5">
        <w:rPr>
          <w:rFonts w:cs="Arial"/>
          <w:b/>
          <w:sz w:val="24"/>
          <w:szCs w:val="24"/>
        </w:rPr>
        <w:t xml:space="preserve">equal </w:t>
      </w:r>
      <w:r w:rsidR="007F29DB" w:rsidRPr="00CF2AC5">
        <w:rPr>
          <w:rFonts w:cs="Arial"/>
          <w:b/>
          <w:sz w:val="24"/>
          <w:szCs w:val="24"/>
        </w:rPr>
        <w:t>zero</w:t>
      </w:r>
      <w:r w:rsidR="00CF2AC5" w:rsidRPr="00CF2AC5">
        <w:rPr>
          <w:rFonts w:cs="Arial"/>
          <w:b/>
          <w:sz w:val="24"/>
          <w:szCs w:val="24"/>
        </w:rPr>
        <w:t>.</w:t>
      </w:r>
    </w:p>
    <w:p w:rsidR="007D675E" w:rsidRPr="000C7B58" w:rsidRDefault="007D675E" w:rsidP="007D675E">
      <w:pPr>
        <w:ind w:left="1080"/>
        <w:rPr>
          <w:rFonts w:cs="Arial"/>
          <w:szCs w:val="20"/>
        </w:rPr>
      </w:pPr>
    </w:p>
    <w:p w:rsidR="000736A0" w:rsidRPr="00E637C3" w:rsidRDefault="000736A0" w:rsidP="00E637C3">
      <w:pPr>
        <w:pStyle w:val="ListParagraph"/>
        <w:numPr>
          <w:ilvl w:val="0"/>
          <w:numId w:val="8"/>
        </w:numPr>
        <w:ind w:left="360"/>
        <w:rPr>
          <w:rFonts w:cs="Arial"/>
          <w:b/>
          <w:szCs w:val="20"/>
          <w:u w:val="single"/>
        </w:rPr>
      </w:pPr>
      <w:r w:rsidRPr="00E637C3">
        <w:rPr>
          <w:rFonts w:cs="Arial"/>
          <w:b/>
          <w:szCs w:val="20"/>
          <w:u w:val="single"/>
        </w:rPr>
        <w:t xml:space="preserve">Supporting Budget by Program Worksheet </w:t>
      </w:r>
    </w:p>
    <w:p w:rsidR="00594737" w:rsidRDefault="00D74CFD" w:rsidP="00A06EAC">
      <w:pPr>
        <w:spacing w:after="0"/>
        <w:ind w:left="0"/>
        <w:rPr>
          <w:rFonts w:eastAsia="Times New Roman" w:cs="Arial"/>
          <w:szCs w:val="20"/>
        </w:rPr>
      </w:pPr>
      <w:r w:rsidRPr="000C7B58">
        <w:rPr>
          <w:rFonts w:eastAsia="Times New Roman" w:cs="Arial"/>
          <w:szCs w:val="20"/>
        </w:rPr>
        <w:t xml:space="preserve">The Supporting Budget Schedule by Program Activity Worksheet is located after the Unit Cost Worksheet.  The Supporting Budget Schedule by Program Activity should only reflect the amounts and units supported by the </w:t>
      </w:r>
      <w:r w:rsidR="001F6BC2" w:rsidRPr="000C7B58">
        <w:rPr>
          <w:rFonts w:eastAsia="Times New Roman" w:cs="Arial"/>
          <w:szCs w:val="20"/>
        </w:rPr>
        <w:t>Area Agency on Aging of Palm Beach/Treasure Coast, Inc.</w:t>
      </w:r>
      <w:r w:rsidRPr="000C7B58">
        <w:rPr>
          <w:rFonts w:eastAsia="Times New Roman" w:cs="Arial"/>
          <w:szCs w:val="20"/>
        </w:rPr>
        <w:t xml:space="preserve"> allocation for that program.  </w:t>
      </w:r>
    </w:p>
    <w:p w:rsidR="00A06EAC" w:rsidRDefault="00A06EAC" w:rsidP="00A06EAC">
      <w:pPr>
        <w:spacing w:after="0"/>
        <w:ind w:left="0"/>
        <w:rPr>
          <w:rFonts w:eastAsia="Times New Roman" w:cs="Arial"/>
          <w:szCs w:val="20"/>
        </w:rPr>
      </w:pPr>
    </w:p>
    <w:p w:rsidR="00A06EAC" w:rsidRPr="00A06EAC" w:rsidRDefault="00A06EAC" w:rsidP="00A563BA">
      <w:pPr>
        <w:pStyle w:val="ListParagraph"/>
        <w:numPr>
          <w:ilvl w:val="0"/>
          <w:numId w:val="15"/>
        </w:numPr>
        <w:spacing w:after="0"/>
      </w:pPr>
      <w:r w:rsidRPr="00A06EAC">
        <w:rPr>
          <w:rFonts w:cs="Arial"/>
          <w:szCs w:val="20"/>
        </w:rPr>
        <w:t xml:space="preserve">Complete the </w:t>
      </w:r>
      <w:r w:rsidRPr="00A06EAC">
        <w:rPr>
          <w:rFonts w:cs="Arial"/>
          <w:b/>
          <w:szCs w:val="20"/>
        </w:rPr>
        <w:t>orange</w:t>
      </w:r>
      <w:r w:rsidRPr="00A06EAC">
        <w:rPr>
          <w:rFonts w:cs="Arial"/>
          <w:szCs w:val="20"/>
        </w:rPr>
        <w:t xml:space="preserve"> highlighted cells.  </w:t>
      </w:r>
    </w:p>
    <w:p w:rsidR="00A06EAC" w:rsidRDefault="00A06EAC" w:rsidP="00A563BA">
      <w:pPr>
        <w:pStyle w:val="ListParagraph"/>
        <w:numPr>
          <w:ilvl w:val="0"/>
          <w:numId w:val="15"/>
        </w:numPr>
        <w:spacing w:after="0"/>
      </w:pPr>
      <w:r>
        <w:t xml:space="preserve">Enter the </w:t>
      </w:r>
      <w:r w:rsidRPr="00A06EAC">
        <w:t>Total Budgeted Units</w:t>
      </w:r>
      <w:r>
        <w:t>. I</w:t>
      </w:r>
      <w:r w:rsidRPr="00A06EAC">
        <w:t xml:space="preserve">nput manually </w:t>
      </w:r>
      <w:r>
        <w:t xml:space="preserve">the number of </w:t>
      </w:r>
      <w:r w:rsidRPr="00A06EAC">
        <w:t xml:space="preserve">units </w:t>
      </w:r>
      <w:r>
        <w:t xml:space="preserve">which </w:t>
      </w:r>
      <w:r w:rsidRPr="00A06EAC">
        <w:t xml:space="preserve">can be provided with the </w:t>
      </w:r>
      <w:r>
        <w:t xml:space="preserve">Area Agency on Aging </w:t>
      </w:r>
      <w:r w:rsidRPr="00A06EAC">
        <w:t xml:space="preserve">allocation. </w:t>
      </w:r>
    </w:p>
    <w:p w:rsidR="00A06EAC" w:rsidRPr="00A06EAC" w:rsidRDefault="00A06EAC" w:rsidP="00A563BA">
      <w:pPr>
        <w:pStyle w:val="ListParagraph"/>
        <w:numPr>
          <w:ilvl w:val="0"/>
          <w:numId w:val="15"/>
        </w:numPr>
        <w:spacing w:after="0"/>
      </w:pPr>
      <w:r w:rsidRPr="00A06EAC">
        <w:t xml:space="preserve">There are many ways to begin calculating the units you will provide with the Contract funding: </w:t>
      </w:r>
    </w:p>
    <w:p w:rsidR="00A06EAC" w:rsidRPr="00A06EAC" w:rsidRDefault="00A06EAC" w:rsidP="00A06EAC">
      <w:pPr>
        <w:pStyle w:val="ListParagraph"/>
        <w:numPr>
          <w:ilvl w:val="0"/>
          <w:numId w:val="16"/>
        </w:numPr>
      </w:pPr>
      <w:r w:rsidRPr="00A06EAC">
        <w:t>Historical unit information.</w:t>
      </w:r>
    </w:p>
    <w:p w:rsidR="00A06EAC" w:rsidRPr="00A06EAC" w:rsidRDefault="00A06EAC" w:rsidP="00A06EAC">
      <w:pPr>
        <w:pStyle w:val="ListParagraph"/>
        <w:numPr>
          <w:ilvl w:val="0"/>
          <w:numId w:val="16"/>
        </w:numPr>
      </w:pPr>
      <w:r w:rsidRPr="00A06EAC">
        <w:t xml:space="preserve">Divide the </w:t>
      </w:r>
      <w:r>
        <w:t xml:space="preserve">total </w:t>
      </w:r>
      <w:r w:rsidRPr="00A06EAC">
        <w:t>funding by the Agency’s historical unit cost.</w:t>
      </w:r>
    </w:p>
    <w:p w:rsidR="00936339" w:rsidRPr="00A06EAC" w:rsidRDefault="00936339" w:rsidP="00A06EAC"/>
    <w:p w:rsidR="00A06EAC" w:rsidRDefault="00A06EAC" w:rsidP="002E0109">
      <w:pPr>
        <w:pStyle w:val="ListParagraph"/>
        <w:numPr>
          <w:ilvl w:val="0"/>
          <w:numId w:val="15"/>
        </w:numPr>
        <w:spacing w:after="0"/>
      </w:pPr>
      <w:r w:rsidRPr="00A06EAC">
        <w:rPr>
          <w:rFonts w:cs="Arial"/>
          <w:szCs w:val="20"/>
        </w:rPr>
        <w:t xml:space="preserve">Enter the </w:t>
      </w:r>
      <w:r w:rsidR="00936339" w:rsidRPr="00A06EAC">
        <w:t>Cash Match</w:t>
      </w:r>
      <w:r>
        <w:t xml:space="preserve"> on the Less Cash Match line.</w:t>
      </w:r>
    </w:p>
    <w:p w:rsidR="0019086C" w:rsidRDefault="00A06EAC" w:rsidP="00347D42">
      <w:pPr>
        <w:pStyle w:val="ListParagraph"/>
        <w:numPr>
          <w:ilvl w:val="0"/>
          <w:numId w:val="15"/>
        </w:numPr>
        <w:spacing w:after="0"/>
      </w:pPr>
      <w:r>
        <w:t xml:space="preserve">Enter the </w:t>
      </w:r>
      <w:r w:rsidR="00936339" w:rsidRPr="00A06EAC">
        <w:t>Less</w:t>
      </w:r>
      <w:r w:rsidR="007B503D" w:rsidRPr="00A06EAC">
        <w:t xml:space="preserve"> Co-Pay Used as Match</w:t>
      </w:r>
      <w:r>
        <w:t xml:space="preserve"> for </w:t>
      </w:r>
      <w:r w:rsidR="00936339" w:rsidRPr="00A06EAC">
        <w:t>CCE</w:t>
      </w:r>
      <w:r w:rsidR="00872A3E" w:rsidRPr="00A06EAC">
        <w:t xml:space="preserve"> </w:t>
      </w:r>
      <w:r>
        <w:t xml:space="preserve">services. This </w:t>
      </w:r>
      <w:r w:rsidR="00872A3E" w:rsidRPr="00A06EAC">
        <w:t>is normally based on historical data.</w:t>
      </w:r>
      <w:r w:rsidRPr="00A06EAC">
        <w:t xml:space="preserve"> </w:t>
      </w:r>
      <w:r w:rsidR="0019086C">
        <w:t xml:space="preserve"> </w:t>
      </w:r>
    </w:p>
    <w:p w:rsidR="0019086C" w:rsidRDefault="0019086C" w:rsidP="0033195B">
      <w:pPr>
        <w:pStyle w:val="ListParagraph"/>
        <w:numPr>
          <w:ilvl w:val="0"/>
          <w:numId w:val="15"/>
        </w:numPr>
        <w:spacing w:after="0"/>
      </w:pPr>
      <w:r>
        <w:t xml:space="preserve">Enter the </w:t>
      </w:r>
      <w:r w:rsidR="00872A3E" w:rsidRPr="00A06EAC">
        <w:t xml:space="preserve">Less Program Income: enter the amount of program income received by the </w:t>
      </w:r>
      <w:r>
        <w:t>Provider</w:t>
      </w:r>
      <w:r w:rsidR="00872A3E" w:rsidRPr="00A06EAC">
        <w:t>, this is normally based on historical data.</w:t>
      </w:r>
    </w:p>
    <w:p w:rsidR="0019086C" w:rsidRDefault="0019086C" w:rsidP="00394381">
      <w:pPr>
        <w:pStyle w:val="ListParagraph"/>
        <w:numPr>
          <w:ilvl w:val="0"/>
          <w:numId w:val="15"/>
        </w:numPr>
        <w:spacing w:after="0"/>
      </w:pPr>
      <w:r>
        <w:t xml:space="preserve">Enter the </w:t>
      </w:r>
      <w:r w:rsidR="00872A3E" w:rsidRPr="00A06EAC">
        <w:t xml:space="preserve">Less Co-Pay Not Used as Match: this only applies to CCE and should </w:t>
      </w:r>
      <w:r w:rsidR="00C41FAF" w:rsidRPr="00A06EAC">
        <w:t xml:space="preserve">include </w:t>
      </w:r>
      <w:r w:rsidR="00872A3E" w:rsidRPr="00A06EAC">
        <w:t xml:space="preserve">any additional Co-Pay budgeted that is not shown in </w:t>
      </w:r>
      <w:r>
        <w:t xml:space="preserve">the </w:t>
      </w:r>
      <w:r w:rsidR="00872A3E" w:rsidRPr="00A06EAC">
        <w:t>Co-Pay Used as Match</w:t>
      </w:r>
      <w:r>
        <w:t xml:space="preserve"> line. </w:t>
      </w:r>
      <w:r w:rsidR="00872A3E" w:rsidRPr="00A06EAC">
        <w:t xml:space="preserve">Normally, all Co-Pay is used as match and shown on </w:t>
      </w:r>
      <w:r>
        <w:t xml:space="preserve">the Co-Pay used as Match line. </w:t>
      </w:r>
    </w:p>
    <w:p w:rsidR="0019086C" w:rsidRDefault="0019086C" w:rsidP="00474C91">
      <w:pPr>
        <w:pStyle w:val="ListParagraph"/>
        <w:numPr>
          <w:ilvl w:val="0"/>
          <w:numId w:val="15"/>
        </w:numPr>
        <w:spacing w:after="0"/>
      </w:pPr>
      <w:r>
        <w:t xml:space="preserve">Enter the </w:t>
      </w:r>
      <w:r w:rsidR="00872A3E" w:rsidRPr="00A06EAC">
        <w:t>Less Other Non-Matching Cash: This line is often times used to balance the budget to the Adjusted Budgeted Cost or to further buy-down the cost being charged to the contract.</w:t>
      </w:r>
      <w:r>
        <w:t xml:space="preserve"> </w:t>
      </w:r>
    </w:p>
    <w:p w:rsidR="004C483A" w:rsidRPr="00A06EAC" w:rsidRDefault="004C483A" w:rsidP="00474C91">
      <w:pPr>
        <w:pStyle w:val="ListParagraph"/>
        <w:numPr>
          <w:ilvl w:val="0"/>
          <w:numId w:val="15"/>
        </w:numPr>
        <w:spacing w:after="0"/>
      </w:pPr>
      <w:r w:rsidRPr="00A06EAC">
        <w:t>Estimated Number of UNDUPLICATED Clients: input the unduplicated clients per service. This is normally based on historical CIRTS data.</w:t>
      </w:r>
    </w:p>
    <w:sectPr w:rsidR="004C483A" w:rsidRPr="00A06EAC" w:rsidSect="000C7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6CA" w:rsidRDefault="005E06CA" w:rsidP="009B183A">
      <w:pPr>
        <w:spacing w:after="0"/>
      </w:pPr>
      <w:r>
        <w:separator/>
      </w:r>
    </w:p>
  </w:endnote>
  <w:endnote w:type="continuationSeparator" w:id="0">
    <w:p w:rsidR="005E06CA" w:rsidRDefault="005E06CA" w:rsidP="009B18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83A" w:rsidRPr="000C7B58" w:rsidRDefault="001F6BC2" w:rsidP="000C7B58">
    <w:pPr>
      <w:pStyle w:val="Footer"/>
      <w:pBdr>
        <w:top w:val="thinThickSmallGap" w:sz="24" w:space="0" w:color="622423"/>
      </w:pBdr>
      <w:ind w:left="0"/>
      <w:rPr>
        <w:rFonts w:cs="Arial"/>
        <w:szCs w:val="20"/>
      </w:rPr>
    </w:pPr>
    <w:r w:rsidRPr="000C7B58">
      <w:rPr>
        <w:rFonts w:cs="Arial"/>
        <w:szCs w:val="20"/>
      </w:rPr>
      <w:t>AAAPB/TC, INC.</w:t>
    </w:r>
    <w:r w:rsidR="00795F52" w:rsidRPr="000C7B58">
      <w:rPr>
        <w:rFonts w:cs="Arial"/>
        <w:szCs w:val="20"/>
      </w:rPr>
      <w:t xml:space="preserve"> UCM Instructions </w:t>
    </w:r>
    <w:r w:rsidRPr="000C7B58">
      <w:rPr>
        <w:rFonts w:cs="Arial"/>
        <w:szCs w:val="20"/>
      </w:rPr>
      <w:t>October 2020</w:t>
    </w:r>
    <w:r w:rsidR="009B183A" w:rsidRPr="000C7B58">
      <w:rPr>
        <w:rFonts w:cs="Arial"/>
        <w:szCs w:val="20"/>
      </w:rPr>
      <w:tab/>
    </w:r>
    <w:r w:rsidR="009B183A" w:rsidRPr="000C7B58">
      <w:rPr>
        <w:rFonts w:cs="Arial"/>
        <w:szCs w:val="20"/>
      </w:rPr>
      <w:tab/>
      <w:t xml:space="preserve">Page </w:t>
    </w:r>
    <w:r w:rsidRPr="000C7B58">
      <w:rPr>
        <w:rFonts w:cs="Arial"/>
        <w:szCs w:val="20"/>
      </w:rPr>
      <w:fldChar w:fldCharType="begin"/>
    </w:r>
    <w:r w:rsidRPr="000C7B58">
      <w:rPr>
        <w:rFonts w:cs="Arial"/>
        <w:szCs w:val="20"/>
      </w:rPr>
      <w:instrText xml:space="preserve"> PAGE   \* MERGEFORMAT </w:instrText>
    </w:r>
    <w:r w:rsidRPr="000C7B58">
      <w:rPr>
        <w:rFonts w:cs="Arial"/>
        <w:szCs w:val="20"/>
      </w:rPr>
      <w:fldChar w:fldCharType="separate"/>
    </w:r>
    <w:r w:rsidR="0087713E">
      <w:rPr>
        <w:rFonts w:cs="Arial"/>
        <w:noProof/>
        <w:szCs w:val="20"/>
      </w:rPr>
      <w:t>1</w:t>
    </w:r>
    <w:r w:rsidRPr="000C7B58">
      <w:rPr>
        <w:rFonts w:cs="Arial"/>
        <w:noProof/>
        <w:szCs w:val="20"/>
      </w:rPr>
      <w:fldChar w:fldCharType="end"/>
    </w:r>
  </w:p>
  <w:p w:rsidR="009B183A" w:rsidRDefault="009B183A" w:rsidP="000C7B58">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6CA" w:rsidRDefault="005E06CA" w:rsidP="009B183A">
      <w:pPr>
        <w:spacing w:after="0"/>
      </w:pPr>
      <w:r>
        <w:separator/>
      </w:r>
    </w:p>
  </w:footnote>
  <w:footnote w:type="continuationSeparator" w:id="0">
    <w:p w:rsidR="005E06CA" w:rsidRDefault="005E06CA" w:rsidP="009B18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8E2"/>
    <w:multiLevelType w:val="hybridMultilevel"/>
    <w:tmpl w:val="E01C46E4"/>
    <w:lvl w:ilvl="0" w:tplc="2846938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3271B"/>
    <w:multiLevelType w:val="hybridMultilevel"/>
    <w:tmpl w:val="AAC24854"/>
    <w:lvl w:ilvl="0" w:tplc="04090015">
      <w:start w:val="1"/>
      <w:numFmt w:val="upperLetter"/>
      <w:lvlText w:val="%1."/>
      <w:lvlJc w:val="left"/>
      <w:pPr>
        <w:ind w:left="1440" w:hanging="360"/>
      </w:pPr>
    </w:lvl>
    <w:lvl w:ilvl="1" w:tplc="302C91BC">
      <w:start w:val="1"/>
      <w:numFmt w:val="decimal"/>
      <w:lvlText w:val="%2."/>
      <w:lvlJc w:val="left"/>
      <w:pPr>
        <w:ind w:left="2160" w:hanging="360"/>
      </w:pPr>
      <w:rPr>
        <w:rFonts w:hint="default"/>
      </w:rPr>
    </w:lvl>
    <w:lvl w:ilvl="2" w:tplc="D860593C">
      <w:start w:val="4"/>
      <w:numFmt w:val="bullet"/>
      <w:lvlText w:val="-"/>
      <w:lvlJc w:val="left"/>
      <w:pPr>
        <w:ind w:left="3060" w:hanging="360"/>
      </w:pPr>
      <w:rPr>
        <w:rFonts w:ascii="Arial" w:eastAsia="Calibri" w:hAnsi="Arial" w:cs="Aria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EF593A"/>
    <w:multiLevelType w:val="hybridMultilevel"/>
    <w:tmpl w:val="9DA4126A"/>
    <w:lvl w:ilvl="0" w:tplc="E876752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4478E4"/>
    <w:multiLevelType w:val="hybridMultilevel"/>
    <w:tmpl w:val="13CCF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E44D50"/>
    <w:multiLevelType w:val="hybridMultilevel"/>
    <w:tmpl w:val="BBDC9DA6"/>
    <w:lvl w:ilvl="0" w:tplc="0409000F">
      <w:start w:val="1"/>
      <w:numFmt w:val="decimal"/>
      <w:lvlText w:val="%1."/>
      <w:lvlJc w:val="left"/>
      <w:pPr>
        <w:ind w:left="720" w:hanging="360"/>
      </w:pPr>
    </w:lvl>
    <w:lvl w:ilvl="1" w:tplc="302C91BC">
      <w:start w:val="1"/>
      <w:numFmt w:val="decimal"/>
      <w:lvlText w:val="%2."/>
      <w:lvlJc w:val="left"/>
      <w:pPr>
        <w:ind w:left="1440" w:hanging="360"/>
      </w:pPr>
      <w:rPr>
        <w:rFonts w:hint="default"/>
      </w:rPr>
    </w:lvl>
    <w:lvl w:ilvl="2" w:tplc="D860593C">
      <w:start w:val="4"/>
      <w:numFmt w:val="bullet"/>
      <w:lvlText w:val="-"/>
      <w:lvlJc w:val="left"/>
      <w:pPr>
        <w:ind w:left="2340" w:hanging="360"/>
      </w:pPr>
      <w:rPr>
        <w:rFonts w:ascii="Arial" w:eastAsia="Calibr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50B4E"/>
    <w:multiLevelType w:val="hybridMultilevel"/>
    <w:tmpl w:val="3168C11C"/>
    <w:lvl w:ilvl="0" w:tplc="28469388">
      <w:start w:val="1"/>
      <w:numFmt w:val="decimal"/>
      <w:lvlText w:val="%1."/>
      <w:lvlJc w:val="left"/>
      <w:pPr>
        <w:ind w:left="720" w:hanging="360"/>
      </w:pPr>
      <w:rPr>
        <w:b w:val="0"/>
      </w:rPr>
    </w:lvl>
    <w:lvl w:ilvl="1" w:tplc="04090019">
      <w:start w:val="1"/>
      <w:numFmt w:val="lowerLetter"/>
      <w:lvlText w:val="%2."/>
      <w:lvlJc w:val="left"/>
      <w:pPr>
        <w:ind w:left="1440" w:hanging="360"/>
      </w:pPr>
    </w:lvl>
    <w:lvl w:ilvl="2" w:tplc="CF22F87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F0988"/>
    <w:multiLevelType w:val="hybridMultilevel"/>
    <w:tmpl w:val="97E0DB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3B3601"/>
    <w:multiLevelType w:val="hybridMultilevel"/>
    <w:tmpl w:val="276489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200200"/>
    <w:multiLevelType w:val="hybridMultilevel"/>
    <w:tmpl w:val="A67C9672"/>
    <w:lvl w:ilvl="0" w:tplc="0409000F">
      <w:start w:val="1"/>
      <w:numFmt w:val="decimal"/>
      <w:lvlText w:val="%1."/>
      <w:lvlJc w:val="left"/>
      <w:pPr>
        <w:ind w:left="1080" w:hanging="360"/>
      </w:pPr>
    </w:lvl>
    <w:lvl w:ilvl="1" w:tplc="14D0F4C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682578"/>
    <w:multiLevelType w:val="hybridMultilevel"/>
    <w:tmpl w:val="615ED4FA"/>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172A0"/>
    <w:multiLevelType w:val="hybridMultilevel"/>
    <w:tmpl w:val="6540A54C"/>
    <w:lvl w:ilvl="0" w:tplc="04090017">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098A"/>
    <w:multiLevelType w:val="hybridMultilevel"/>
    <w:tmpl w:val="3824187C"/>
    <w:lvl w:ilvl="0" w:tplc="E876752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BC3473"/>
    <w:multiLevelType w:val="hybridMultilevel"/>
    <w:tmpl w:val="AB86B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0F1C62"/>
    <w:multiLevelType w:val="hybridMultilevel"/>
    <w:tmpl w:val="36829A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5C5907"/>
    <w:multiLevelType w:val="hybridMultilevel"/>
    <w:tmpl w:val="7CD8F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EF566B"/>
    <w:multiLevelType w:val="hybridMultilevel"/>
    <w:tmpl w:val="253CEEF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4"/>
  </w:num>
  <w:num w:numId="3">
    <w:abstractNumId w:val="2"/>
  </w:num>
  <w:num w:numId="4">
    <w:abstractNumId w:val="11"/>
  </w:num>
  <w:num w:numId="5">
    <w:abstractNumId w:val="13"/>
  </w:num>
  <w:num w:numId="6">
    <w:abstractNumId w:val="3"/>
  </w:num>
  <w:num w:numId="7">
    <w:abstractNumId w:val="8"/>
  </w:num>
  <w:num w:numId="8">
    <w:abstractNumId w:val="1"/>
  </w:num>
  <w:num w:numId="9">
    <w:abstractNumId w:val="4"/>
  </w:num>
  <w:num w:numId="10">
    <w:abstractNumId w:val="0"/>
  </w:num>
  <w:num w:numId="11">
    <w:abstractNumId w:val="9"/>
  </w:num>
  <w:num w:numId="12">
    <w:abstractNumId w:val="6"/>
  </w:num>
  <w:num w:numId="13">
    <w:abstractNumId w:val="7"/>
  </w:num>
  <w:num w:numId="14">
    <w:abstractNumId w:val="10"/>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42"/>
    <w:rsid w:val="00014531"/>
    <w:rsid w:val="000173F8"/>
    <w:rsid w:val="0003362C"/>
    <w:rsid w:val="00053436"/>
    <w:rsid w:val="00061198"/>
    <w:rsid w:val="000736A0"/>
    <w:rsid w:val="000C514B"/>
    <w:rsid w:val="000C7B58"/>
    <w:rsid w:val="000D3080"/>
    <w:rsid w:val="000F35F5"/>
    <w:rsid w:val="00102F3B"/>
    <w:rsid w:val="00104FE4"/>
    <w:rsid w:val="00151150"/>
    <w:rsid w:val="0019086C"/>
    <w:rsid w:val="001A5AFB"/>
    <w:rsid w:val="001C1220"/>
    <w:rsid w:val="001F6BC2"/>
    <w:rsid w:val="00213838"/>
    <w:rsid w:val="00221A79"/>
    <w:rsid w:val="00233DDA"/>
    <w:rsid w:val="0026284F"/>
    <w:rsid w:val="00270A81"/>
    <w:rsid w:val="002A630D"/>
    <w:rsid w:val="00303DC9"/>
    <w:rsid w:val="0030540F"/>
    <w:rsid w:val="00306493"/>
    <w:rsid w:val="00323A34"/>
    <w:rsid w:val="00326016"/>
    <w:rsid w:val="003309E7"/>
    <w:rsid w:val="00332C09"/>
    <w:rsid w:val="00342E3C"/>
    <w:rsid w:val="00354B46"/>
    <w:rsid w:val="003819FC"/>
    <w:rsid w:val="003914EB"/>
    <w:rsid w:val="003A63CC"/>
    <w:rsid w:val="003C7BAD"/>
    <w:rsid w:val="00413F2B"/>
    <w:rsid w:val="00443198"/>
    <w:rsid w:val="004614CC"/>
    <w:rsid w:val="00470266"/>
    <w:rsid w:val="0047238A"/>
    <w:rsid w:val="0048776B"/>
    <w:rsid w:val="004A0B41"/>
    <w:rsid w:val="004A72B8"/>
    <w:rsid w:val="004B6A7C"/>
    <w:rsid w:val="004C0210"/>
    <w:rsid w:val="004C4610"/>
    <w:rsid w:val="004C483A"/>
    <w:rsid w:val="00503B97"/>
    <w:rsid w:val="0053029A"/>
    <w:rsid w:val="00542E3B"/>
    <w:rsid w:val="005518BD"/>
    <w:rsid w:val="00567342"/>
    <w:rsid w:val="00587AF2"/>
    <w:rsid w:val="00594737"/>
    <w:rsid w:val="00597E5D"/>
    <w:rsid w:val="005E06CA"/>
    <w:rsid w:val="005E161C"/>
    <w:rsid w:val="005E289F"/>
    <w:rsid w:val="005E4272"/>
    <w:rsid w:val="005F0790"/>
    <w:rsid w:val="00643175"/>
    <w:rsid w:val="00680366"/>
    <w:rsid w:val="0069744F"/>
    <w:rsid w:val="006E0653"/>
    <w:rsid w:val="00724DC8"/>
    <w:rsid w:val="00726EE6"/>
    <w:rsid w:val="00736FD1"/>
    <w:rsid w:val="00761522"/>
    <w:rsid w:val="00795F52"/>
    <w:rsid w:val="00797ACA"/>
    <w:rsid w:val="00797D4C"/>
    <w:rsid w:val="007B503D"/>
    <w:rsid w:val="007C68F3"/>
    <w:rsid w:val="007D675E"/>
    <w:rsid w:val="007E5A46"/>
    <w:rsid w:val="007F29DB"/>
    <w:rsid w:val="008308BA"/>
    <w:rsid w:val="008376EC"/>
    <w:rsid w:val="00850D25"/>
    <w:rsid w:val="008611C9"/>
    <w:rsid w:val="00872A3E"/>
    <w:rsid w:val="0087713E"/>
    <w:rsid w:val="008818C1"/>
    <w:rsid w:val="0088700D"/>
    <w:rsid w:val="00891663"/>
    <w:rsid w:val="00895EAE"/>
    <w:rsid w:val="008C02E9"/>
    <w:rsid w:val="008C7AD7"/>
    <w:rsid w:val="0090771E"/>
    <w:rsid w:val="009159AC"/>
    <w:rsid w:val="00936339"/>
    <w:rsid w:val="00950305"/>
    <w:rsid w:val="009A30CE"/>
    <w:rsid w:val="009B183A"/>
    <w:rsid w:val="00A06EAC"/>
    <w:rsid w:val="00A27817"/>
    <w:rsid w:val="00A42A6B"/>
    <w:rsid w:val="00A61D7D"/>
    <w:rsid w:val="00A63E14"/>
    <w:rsid w:val="00A92FA8"/>
    <w:rsid w:val="00AA739C"/>
    <w:rsid w:val="00AD124F"/>
    <w:rsid w:val="00AD39E0"/>
    <w:rsid w:val="00AD4938"/>
    <w:rsid w:val="00B07B49"/>
    <w:rsid w:val="00B247DC"/>
    <w:rsid w:val="00B35460"/>
    <w:rsid w:val="00B64353"/>
    <w:rsid w:val="00B75996"/>
    <w:rsid w:val="00BC02C0"/>
    <w:rsid w:val="00BC06F2"/>
    <w:rsid w:val="00BC150C"/>
    <w:rsid w:val="00BD3ADA"/>
    <w:rsid w:val="00BE4ACA"/>
    <w:rsid w:val="00BE7544"/>
    <w:rsid w:val="00BF20BF"/>
    <w:rsid w:val="00C41FAF"/>
    <w:rsid w:val="00CB0DDD"/>
    <w:rsid w:val="00CB193E"/>
    <w:rsid w:val="00CD14FD"/>
    <w:rsid w:val="00CE2165"/>
    <w:rsid w:val="00CE41F0"/>
    <w:rsid w:val="00CF01C3"/>
    <w:rsid w:val="00CF2AC5"/>
    <w:rsid w:val="00CF4C5D"/>
    <w:rsid w:val="00D12E42"/>
    <w:rsid w:val="00D3372E"/>
    <w:rsid w:val="00D37D7B"/>
    <w:rsid w:val="00D71EB2"/>
    <w:rsid w:val="00D74CFD"/>
    <w:rsid w:val="00D811C2"/>
    <w:rsid w:val="00D963B5"/>
    <w:rsid w:val="00D9799A"/>
    <w:rsid w:val="00DB243D"/>
    <w:rsid w:val="00DB50D2"/>
    <w:rsid w:val="00DC32AF"/>
    <w:rsid w:val="00DD16B0"/>
    <w:rsid w:val="00E03F50"/>
    <w:rsid w:val="00E34C47"/>
    <w:rsid w:val="00E36CE8"/>
    <w:rsid w:val="00E637C3"/>
    <w:rsid w:val="00E64FE4"/>
    <w:rsid w:val="00EA121E"/>
    <w:rsid w:val="00EB08B4"/>
    <w:rsid w:val="00EE1988"/>
    <w:rsid w:val="00EF3CC5"/>
    <w:rsid w:val="00F022B1"/>
    <w:rsid w:val="00F15585"/>
    <w:rsid w:val="00F177F8"/>
    <w:rsid w:val="00F272E9"/>
    <w:rsid w:val="00F305E8"/>
    <w:rsid w:val="00FB1E09"/>
    <w:rsid w:val="00FB301F"/>
    <w:rsid w:val="00FB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203FD4E-12C0-4FB6-9E07-87590727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BA"/>
    <w:pPr>
      <w:spacing w:after="40"/>
      <w:ind w:left="720"/>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E42"/>
    <w:pPr>
      <w:contextualSpacing/>
    </w:pPr>
  </w:style>
  <w:style w:type="paragraph" w:styleId="BalloonText">
    <w:name w:val="Balloon Text"/>
    <w:basedOn w:val="Normal"/>
    <w:link w:val="BalloonTextChar"/>
    <w:uiPriority w:val="99"/>
    <w:semiHidden/>
    <w:unhideWhenUsed/>
    <w:rsid w:val="003309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9E7"/>
    <w:rPr>
      <w:rFonts w:ascii="Tahoma" w:hAnsi="Tahoma" w:cs="Tahoma"/>
      <w:sz w:val="16"/>
      <w:szCs w:val="16"/>
    </w:rPr>
  </w:style>
  <w:style w:type="paragraph" w:styleId="Header">
    <w:name w:val="header"/>
    <w:basedOn w:val="Normal"/>
    <w:link w:val="HeaderChar"/>
    <w:uiPriority w:val="99"/>
    <w:unhideWhenUsed/>
    <w:rsid w:val="009B183A"/>
    <w:pPr>
      <w:tabs>
        <w:tab w:val="center" w:pos="4680"/>
        <w:tab w:val="right" w:pos="9360"/>
      </w:tabs>
      <w:spacing w:after="0"/>
    </w:pPr>
  </w:style>
  <w:style w:type="character" w:customStyle="1" w:styleId="HeaderChar">
    <w:name w:val="Header Char"/>
    <w:basedOn w:val="DefaultParagraphFont"/>
    <w:link w:val="Header"/>
    <w:uiPriority w:val="99"/>
    <w:rsid w:val="009B183A"/>
  </w:style>
  <w:style w:type="paragraph" w:styleId="Footer">
    <w:name w:val="footer"/>
    <w:basedOn w:val="Normal"/>
    <w:link w:val="FooterChar"/>
    <w:uiPriority w:val="99"/>
    <w:unhideWhenUsed/>
    <w:rsid w:val="009B183A"/>
    <w:pPr>
      <w:tabs>
        <w:tab w:val="center" w:pos="4680"/>
        <w:tab w:val="right" w:pos="9360"/>
      </w:tabs>
      <w:spacing w:after="0"/>
    </w:pPr>
  </w:style>
  <w:style w:type="character" w:customStyle="1" w:styleId="FooterChar">
    <w:name w:val="Footer Char"/>
    <w:basedOn w:val="DefaultParagraphFont"/>
    <w:link w:val="Footer"/>
    <w:uiPriority w:val="99"/>
    <w:rsid w:val="009B1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362165">
      <w:bodyDiv w:val="1"/>
      <w:marLeft w:val="0"/>
      <w:marRight w:val="0"/>
      <w:marTop w:val="0"/>
      <w:marBottom w:val="0"/>
      <w:divBdr>
        <w:top w:val="none" w:sz="0" w:space="0" w:color="auto"/>
        <w:left w:val="none" w:sz="0" w:space="0" w:color="auto"/>
        <w:bottom w:val="none" w:sz="0" w:space="0" w:color="auto"/>
        <w:right w:val="none" w:sz="0" w:space="0" w:color="auto"/>
      </w:divBdr>
    </w:div>
    <w:div w:id="1851404107">
      <w:bodyDiv w:val="1"/>
      <w:marLeft w:val="0"/>
      <w:marRight w:val="0"/>
      <w:marTop w:val="0"/>
      <w:marBottom w:val="0"/>
      <w:divBdr>
        <w:top w:val="none" w:sz="0" w:space="0" w:color="auto"/>
        <w:left w:val="none" w:sz="0" w:space="0" w:color="auto"/>
        <w:bottom w:val="none" w:sz="0" w:space="0" w:color="auto"/>
        <w:right w:val="none" w:sz="0" w:space="0" w:color="auto"/>
      </w:divBdr>
    </w:div>
    <w:div w:id="20107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Nancy Yarnall</cp:lastModifiedBy>
  <cp:revision>2</cp:revision>
  <cp:lastPrinted>2011-12-13T19:15:00Z</cp:lastPrinted>
  <dcterms:created xsi:type="dcterms:W3CDTF">2021-05-24T15:35:00Z</dcterms:created>
  <dcterms:modified xsi:type="dcterms:W3CDTF">2021-05-24T15:35:00Z</dcterms:modified>
</cp:coreProperties>
</file>